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29A342" w14:textId="7558279D" w:rsidR="006529A1" w:rsidRDefault="00FC5B91" w:rsidP="00F668C6">
      <w:pPr>
        <w:jc w:val="both"/>
      </w:pPr>
      <w:r>
        <w:rPr>
          <w:noProof/>
        </w:rPr>
        <w:drawing>
          <wp:anchor distT="0" distB="0" distL="114300" distR="114300" simplePos="0" relativeHeight="251667456" behindDoc="0" locked="0" layoutInCell="1" allowOverlap="1" wp14:anchorId="26D23F76" wp14:editId="305CBC50">
            <wp:simplePos x="0" y="0"/>
            <wp:positionH relativeFrom="column">
              <wp:posOffset>-914400</wp:posOffset>
            </wp:positionH>
            <wp:positionV relativeFrom="paragraph">
              <wp:posOffset>-914400</wp:posOffset>
            </wp:positionV>
            <wp:extent cx="7547492" cy="2455545"/>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1" b="489"/>
                    <a:stretch/>
                  </pic:blipFill>
                  <pic:spPr bwMode="auto">
                    <a:xfrm>
                      <a:off x="0" y="0"/>
                      <a:ext cx="7587707" cy="24686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68E6BB" w14:textId="755B5AEB" w:rsidR="00AC3C6B" w:rsidRDefault="007465EB" w:rsidP="00F668C6">
      <w:pPr>
        <w:jc w:val="both"/>
      </w:pPr>
      <w:r>
        <w:rPr>
          <w:noProof/>
          <w:lang w:eastAsia="en-GB"/>
        </w:rPr>
        <mc:AlternateContent>
          <mc:Choice Requires="wps">
            <w:drawing>
              <wp:anchor distT="0" distB="0" distL="114300" distR="114300" simplePos="0" relativeHeight="251664384" behindDoc="0" locked="0" layoutInCell="1" allowOverlap="1" wp14:anchorId="294FDBB8" wp14:editId="3C56FD8A">
                <wp:simplePos x="0" y="0"/>
                <wp:positionH relativeFrom="column">
                  <wp:posOffset>-234950</wp:posOffset>
                </wp:positionH>
                <wp:positionV relativeFrom="paragraph">
                  <wp:posOffset>4159250</wp:posOffset>
                </wp:positionV>
                <wp:extent cx="6012180" cy="3136900"/>
                <wp:effectExtent l="0" t="0" r="0" b="6350"/>
                <wp:wrapNone/>
                <wp:docPr id="5" name="Text Box 5"/>
                <wp:cNvGraphicFramePr/>
                <a:graphic xmlns:a="http://schemas.openxmlformats.org/drawingml/2006/main">
                  <a:graphicData uri="http://schemas.microsoft.com/office/word/2010/wordprocessingShape">
                    <wps:wsp>
                      <wps:cNvSpPr txBox="1"/>
                      <wps:spPr>
                        <a:xfrm>
                          <a:off x="0" y="0"/>
                          <a:ext cx="6012180" cy="3136900"/>
                        </a:xfrm>
                        <a:prstGeom prst="rect">
                          <a:avLst/>
                        </a:prstGeom>
                        <a:noFill/>
                        <a:ln>
                          <a:noFill/>
                        </a:ln>
                      </wps:spPr>
                      <wps:txbx>
                        <w:txbxContent>
                          <w:p w14:paraId="1843D2A0" w14:textId="7E1E47BA" w:rsidR="00EB0BD4" w:rsidRPr="00AC3C6B" w:rsidRDefault="007465EB" w:rsidP="00EB0BD4">
                            <w:pPr>
                              <w:jc w:val="center"/>
                              <w:rPr>
                                <w:i/>
                                <w:noProof/>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i/>
                                <w:noProof/>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Task 1</w:t>
                            </w:r>
                            <w:r w:rsidR="00CA3ADB">
                              <w:rPr>
                                <w:i/>
                                <w:noProof/>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i/>
                                <w:noProof/>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CA3ADB">
                              <w:rPr>
                                <w:i/>
                                <w:noProof/>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i/>
                                <w:noProof/>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Understanding operating conditions for decarbonised gas grid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4FDBB8" id="_x0000_t202" coordsize="21600,21600" o:spt="202" path="m,l,21600r21600,l21600,xe">
                <v:stroke joinstyle="miter"/>
                <v:path gradientshapeok="t" o:connecttype="rect"/>
              </v:shapetype>
              <v:shape id="Text Box 5" o:spid="_x0000_s1026" type="#_x0000_t202" style="position:absolute;left:0;text-align:left;margin-left:-18.5pt;margin-top:327.5pt;width:473.4pt;height:24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" filled="f" stroked="f">
                <v:textbox>
                  <w:txbxContent>
                    <w:p w14:paraId="1843D2A0" w14:textId="7E1E47BA" w:rsidR="00EB0BD4" w:rsidRPr="00AC3C6B" w:rsidRDefault="007465EB" w:rsidP="00EB0BD4">
                      <w:pPr>
                        <w:jc w:val="center"/>
                        <w:rPr>
                          <w:i/>
                          <w:noProof/>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i/>
                          <w:noProof/>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Task 1</w:t>
                      </w:r>
                      <w:r w:rsidR="00CA3ADB">
                        <w:rPr>
                          <w:i/>
                          <w:noProof/>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i/>
                          <w:noProof/>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CA3ADB">
                        <w:rPr>
                          <w:i/>
                          <w:noProof/>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i/>
                          <w:noProof/>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Understanding operating conditions for decarbonised gas grid</w:t>
                      </w:r>
                    </w:p>
                  </w:txbxContent>
                </v:textbox>
              </v:shape>
            </w:pict>
          </mc:Fallback>
        </mc:AlternateContent>
      </w:r>
      <w:r>
        <w:rPr>
          <w:noProof/>
          <w:lang w:eastAsia="en-GB"/>
        </w:rPr>
        <mc:AlternateContent>
          <mc:Choice Requires="wps">
            <w:drawing>
              <wp:anchor distT="45720" distB="45720" distL="114300" distR="114300" simplePos="0" relativeHeight="251662336" behindDoc="0" locked="0" layoutInCell="1" allowOverlap="1" wp14:anchorId="797FC9C3" wp14:editId="114904B9">
                <wp:simplePos x="0" y="0"/>
                <wp:positionH relativeFrom="column">
                  <wp:posOffset>-914400</wp:posOffset>
                </wp:positionH>
                <wp:positionV relativeFrom="paragraph">
                  <wp:posOffset>1914525</wp:posOffset>
                </wp:positionV>
                <wp:extent cx="7556500" cy="2533650"/>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2533650"/>
                        </a:xfrm>
                        <a:prstGeom prst="rect">
                          <a:avLst/>
                        </a:prstGeom>
                        <a:solidFill>
                          <a:srgbClr val="FFFFFF"/>
                        </a:solidFill>
                        <a:ln w="9525">
                          <a:noFill/>
                          <a:miter lim="800000"/>
                          <a:headEnd/>
                          <a:tailEnd/>
                        </a:ln>
                      </wps:spPr>
                      <wps:txbx>
                        <w:txbxContent>
                          <w:p w14:paraId="63B923FB" w14:textId="57277189" w:rsidR="006D607D" w:rsidRPr="007D1764" w:rsidRDefault="007465EB" w:rsidP="00CA3ADB">
                            <w:pPr>
                              <w:jc w:val="center"/>
                              <w:rPr>
                                <w:rFonts w:ascii="Arial Black" w:hAnsi="Arial Black"/>
                                <w:b/>
                                <w:color w:val="C45911" w:themeColor="accent2" w:themeShade="BF"/>
                                <w:sz w:val="72"/>
                                <w14:textOutline w14:w="11112" w14:cap="flat" w14:cmpd="sng" w14:algn="ctr">
                                  <w14:noFill/>
                                  <w14:prstDash w14:val="solid"/>
                                  <w14:round/>
                                </w14:textOutline>
                              </w:rPr>
                            </w:pPr>
                            <w:r>
                              <w:rPr>
                                <w:rFonts w:ascii="Arial Black" w:hAnsi="Arial Black"/>
                                <w:b/>
                                <w:color w:val="C45911" w:themeColor="accent2" w:themeShade="BF"/>
                                <w:sz w:val="72"/>
                                <w14:textOutline w14:w="11112" w14:cap="flat" w14:cmpd="sng" w14:algn="ctr">
                                  <w14:noFill/>
                                  <w14:prstDash w14:val="solid"/>
                                  <w14:round/>
                                </w14:textOutline>
                              </w:rPr>
                              <w:t>H</w:t>
                            </w:r>
                            <w:r w:rsidRPr="007465EB">
                              <w:rPr>
                                <w:rFonts w:ascii="Arial Black" w:hAnsi="Arial Black"/>
                                <w:b/>
                                <w:color w:val="C45911" w:themeColor="accent2" w:themeShade="BF"/>
                                <w:sz w:val="72"/>
                                <w14:textOutline w14:w="11112" w14:cap="flat" w14:cmpd="sng" w14:algn="ctr">
                                  <w14:noFill/>
                                  <w14:prstDash w14:val="solid"/>
                                  <w14:round/>
                                </w14:textOutline>
                              </w:rPr>
                              <w:t>ydrogen and hydrogen-enriched natural gas in European gas grids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7FC9C3" id="Text Box 2" o:spid="_x0000_s1027" type="#_x0000_t202" style="position:absolute;left:0;text-align:left;margin-left:-1in;margin-top:150.75pt;width:595pt;height:199.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" stroked="f">
                <v:textbox>
                  <w:txbxContent>
                    <w:p w14:paraId="63B923FB" w14:textId="57277189" w:rsidR="006D607D" w:rsidRPr="007D1764" w:rsidRDefault="007465EB" w:rsidP="00CA3ADB">
                      <w:pPr>
                        <w:jc w:val="center"/>
                        <w:rPr>
                          <w:rFonts w:ascii="Arial Black" w:hAnsi="Arial Black"/>
                          <w:b/>
                          <w:color w:val="C45911" w:themeColor="accent2" w:themeShade="BF"/>
                          <w:sz w:val="72"/>
                          <w14:textOutline w14:w="11112" w14:cap="flat" w14:cmpd="sng" w14:algn="ctr">
                            <w14:noFill/>
                            <w14:prstDash w14:val="solid"/>
                            <w14:round/>
                          </w14:textOutline>
                        </w:rPr>
                      </w:pPr>
                      <w:r>
                        <w:rPr>
                          <w:rFonts w:ascii="Arial Black" w:hAnsi="Arial Black"/>
                          <w:b/>
                          <w:color w:val="C45911" w:themeColor="accent2" w:themeShade="BF"/>
                          <w:sz w:val="72"/>
                          <w14:textOutline w14:w="11112" w14:cap="flat" w14:cmpd="sng" w14:algn="ctr">
                            <w14:noFill/>
                            <w14:prstDash w14:val="solid"/>
                            <w14:round/>
                          </w14:textOutline>
                        </w:rPr>
                        <w:t>H</w:t>
                      </w:r>
                      <w:r w:rsidRPr="007465EB">
                        <w:rPr>
                          <w:rFonts w:ascii="Arial Black" w:hAnsi="Arial Black"/>
                          <w:b/>
                          <w:color w:val="C45911" w:themeColor="accent2" w:themeShade="BF"/>
                          <w:sz w:val="72"/>
                          <w14:textOutline w14:w="11112" w14:cap="flat" w14:cmpd="sng" w14:algn="ctr">
                            <w14:noFill/>
                            <w14:prstDash w14:val="solid"/>
                            <w14:round/>
                          </w14:textOutline>
                        </w:rPr>
                        <w:t>ydrogen and hydrogen-enriched natural gas in European gas grids</w:t>
                      </w:r>
                    </w:p>
                  </w:txbxContent>
                </v:textbox>
                <w10:wrap type="square"/>
              </v:shape>
            </w:pict>
          </mc:Fallback>
        </mc:AlternateContent>
      </w:r>
      <w:r w:rsidR="00494D95">
        <w:rPr>
          <w:noProof/>
          <w:lang w:eastAsia="en-GB"/>
        </w:rPr>
        <mc:AlternateContent>
          <mc:Choice Requires="wps">
            <w:drawing>
              <wp:anchor distT="45720" distB="45720" distL="114300" distR="114300" simplePos="0" relativeHeight="251666432" behindDoc="0" locked="0" layoutInCell="1" allowOverlap="1" wp14:anchorId="6E22855E" wp14:editId="4277CE80">
                <wp:simplePos x="0" y="0"/>
                <wp:positionH relativeFrom="column">
                  <wp:posOffset>-914400</wp:posOffset>
                </wp:positionH>
                <wp:positionV relativeFrom="paragraph">
                  <wp:posOffset>8197774</wp:posOffset>
                </wp:positionV>
                <wp:extent cx="7548880" cy="1404620"/>
                <wp:effectExtent l="0" t="0" r="0" b="127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8880" cy="1404620"/>
                        </a:xfrm>
                        <a:prstGeom prst="rect">
                          <a:avLst/>
                        </a:prstGeom>
                        <a:solidFill>
                          <a:srgbClr val="FFFFFF"/>
                        </a:solidFill>
                        <a:ln w="9525">
                          <a:noFill/>
                          <a:miter lim="800000"/>
                          <a:headEnd/>
                          <a:tailEnd/>
                        </a:ln>
                      </wps:spPr>
                      <wps:txbx>
                        <w:txbxContent>
                          <w:p w14:paraId="16BB5A41" w14:textId="74B5E046" w:rsidR="00EB0BD4" w:rsidRPr="00FC5B91" w:rsidRDefault="00EB0BD4" w:rsidP="00EB0BD4">
                            <w:pPr>
                              <w:jc w:val="center"/>
                              <w:rPr>
                                <w:color w:val="ED7D31" w:themeColor="accent2"/>
                                <w:sz w:val="44"/>
                              </w:rPr>
                            </w:pPr>
                            <w:r w:rsidRPr="00FC5B91">
                              <w:rPr>
                                <w:color w:val="ED7D31" w:themeColor="accent2"/>
                                <w:sz w:val="44"/>
                              </w:rPr>
                              <w:t>www.</w:t>
                            </w:r>
                            <w:r w:rsidR="00FC5B91" w:rsidRPr="00FC5B91">
                              <w:rPr>
                                <w:color w:val="ED7D31" w:themeColor="accent2"/>
                                <w:sz w:val="44"/>
                              </w:rPr>
                              <w:t>decarbgrid</w:t>
                            </w:r>
                            <w:r w:rsidRPr="00FC5B91">
                              <w:rPr>
                                <w:color w:val="ED7D31" w:themeColor="accent2"/>
                                <w:sz w:val="44"/>
                              </w:rPr>
                              <w:t>.eu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22855E" id="_x0000_s1028" type="#_x0000_t202" style="position:absolute;left:0;text-align:left;margin-left:-1in;margin-top:645.5pt;width:594.4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" stroked="f">
                <v:textbox style="mso-fit-shape-to-text:t">
                  <w:txbxContent>
                    <w:p w14:paraId="16BB5A41" w14:textId="74B5E046" w:rsidR="00EB0BD4" w:rsidRPr="00FC5B91" w:rsidRDefault="00EB0BD4" w:rsidP="00EB0BD4">
                      <w:pPr>
                        <w:jc w:val="center"/>
                        <w:rPr>
                          <w:color w:val="ED7D31" w:themeColor="accent2"/>
                          <w:sz w:val="44"/>
                        </w:rPr>
                      </w:pPr>
                      <w:r w:rsidRPr="00FC5B91">
                        <w:rPr>
                          <w:color w:val="ED7D31" w:themeColor="accent2"/>
                          <w:sz w:val="44"/>
                        </w:rPr>
                        <w:t>www.</w:t>
                      </w:r>
                      <w:r w:rsidR="00FC5B91" w:rsidRPr="00FC5B91">
                        <w:rPr>
                          <w:color w:val="ED7D31" w:themeColor="accent2"/>
                          <w:sz w:val="44"/>
                        </w:rPr>
                        <w:t>decarbgrid</w:t>
                      </w:r>
                      <w:r w:rsidRPr="00FC5B91">
                        <w:rPr>
                          <w:color w:val="ED7D31" w:themeColor="accent2"/>
                          <w:sz w:val="44"/>
                        </w:rPr>
                        <w:t>.eu</w:t>
                      </w:r>
                    </w:p>
                  </w:txbxContent>
                </v:textbox>
                <w10:wrap type="square"/>
              </v:shape>
            </w:pict>
          </mc:Fallback>
        </mc:AlternateContent>
      </w:r>
      <w:r w:rsidR="00AC3C6B">
        <w:br w:type="page"/>
      </w:r>
    </w:p>
    <w:p w14:paraId="20685FEA" w14:textId="77777777" w:rsidR="00AC3C6B" w:rsidRDefault="00AC3C6B" w:rsidP="00F668C6">
      <w:pPr>
        <w:jc w:val="both"/>
      </w:pPr>
    </w:p>
    <w:p w14:paraId="5F344E86" w14:textId="77777777" w:rsidR="00AC3C6B" w:rsidRDefault="00AC3C6B" w:rsidP="00F668C6">
      <w:pPr>
        <w:jc w:val="both"/>
      </w:pPr>
    </w:p>
    <w:p w14:paraId="74B5658F" w14:textId="77777777" w:rsidR="00AC3C6B" w:rsidRDefault="00AC3C6B" w:rsidP="00F668C6">
      <w:pPr>
        <w:jc w:val="both"/>
      </w:pPr>
    </w:p>
    <w:p w14:paraId="6E061AF4" w14:textId="26437C10" w:rsidR="009C3D9C" w:rsidRDefault="00AC3C6B" w:rsidP="00F668C6">
      <w:pPr>
        <w:jc w:val="both"/>
      </w:pPr>
      <w:r w:rsidRPr="004004DA">
        <w:t xml:space="preserve">This </w:t>
      </w:r>
      <w:r w:rsidR="00CA3ADB" w:rsidRPr="004004DA">
        <w:t>report</w:t>
      </w:r>
      <w:r w:rsidR="00A9184A" w:rsidRPr="004004DA">
        <w:t xml:space="preserve"> was written as</w:t>
      </w:r>
      <w:r w:rsidRPr="004004DA">
        <w:t xml:space="preserve"> </w:t>
      </w:r>
      <w:r w:rsidR="00A9184A" w:rsidRPr="004004DA">
        <w:t xml:space="preserve">part of </w:t>
      </w:r>
      <w:r w:rsidR="007465EB" w:rsidRPr="004004DA">
        <w:t>task</w:t>
      </w:r>
      <w:r w:rsidR="00A9184A" w:rsidRPr="004004DA">
        <w:t xml:space="preserve"> </w:t>
      </w:r>
      <w:r w:rsidR="007465EB" w:rsidRPr="004004DA">
        <w:t>1.1</w:t>
      </w:r>
      <w:r w:rsidR="00A9184A" w:rsidRPr="004004DA">
        <w:t xml:space="preserve">. </w:t>
      </w:r>
      <w:r w:rsidRPr="004004DA">
        <w:t xml:space="preserve">from </w:t>
      </w:r>
      <w:r w:rsidR="00A9184A" w:rsidRPr="004004DA">
        <w:t xml:space="preserve">the </w:t>
      </w:r>
      <w:r w:rsidRPr="004004DA">
        <w:t>EMP</w:t>
      </w:r>
      <w:r w:rsidR="009C3D9C" w:rsidRPr="004004DA">
        <w:t>IR</w:t>
      </w:r>
      <w:r w:rsidRPr="004004DA">
        <w:t xml:space="preserve"> Metrology for </w:t>
      </w:r>
      <w:r w:rsidR="003F55C7" w:rsidRPr="004004DA">
        <w:t xml:space="preserve">Decarbonising the Gas Grid </w:t>
      </w:r>
      <w:r w:rsidR="00A9184A" w:rsidRPr="004004DA">
        <w:t>project.</w:t>
      </w:r>
      <w:r w:rsidR="009C3D9C" w:rsidRPr="004004DA">
        <w:t xml:space="preserve"> The </w:t>
      </w:r>
      <w:proofErr w:type="gramStart"/>
      <w:r w:rsidR="009C3D9C" w:rsidRPr="004004DA">
        <w:t>three year</w:t>
      </w:r>
      <w:proofErr w:type="gramEnd"/>
      <w:r w:rsidR="009C3D9C" w:rsidRPr="004004DA">
        <w:t xml:space="preserve"> European project commenced on 1</w:t>
      </w:r>
      <w:r w:rsidR="009C3D9C" w:rsidRPr="004004DA">
        <w:rPr>
          <w:vertAlign w:val="superscript"/>
        </w:rPr>
        <w:t>st</w:t>
      </w:r>
      <w:r w:rsidR="009C3D9C" w:rsidRPr="004004DA">
        <w:t xml:space="preserve"> June 20</w:t>
      </w:r>
      <w:r w:rsidR="003F55C7" w:rsidRPr="004004DA">
        <w:t xml:space="preserve">21. </w:t>
      </w:r>
      <w:r w:rsidR="009C3D9C" w:rsidRPr="004004DA">
        <w:t xml:space="preserve">For more details about this project please visit </w:t>
      </w:r>
      <w:hyperlink r:id="rId12" w:history="1">
        <w:r w:rsidR="003F55C7" w:rsidRPr="004004DA">
          <w:rPr>
            <w:rStyle w:val="Hyperlink"/>
          </w:rPr>
          <w:t>www.decarbgrid.eu</w:t>
        </w:r>
      </w:hyperlink>
      <w:r w:rsidR="009C3D9C" w:rsidRPr="004004DA">
        <w:t>.</w:t>
      </w:r>
    </w:p>
    <w:p w14:paraId="7B44F427" w14:textId="77777777" w:rsidR="009C3D9C" w:rsidRDefault="009C3D9C" w:rsidP="00F668C6">
      <w:pPr>
        <w:jc w:val="both"/>
      </w:pPr>
    </w:p>
    <w:p w14:paraId="1F578391" w14:textId="77777777" w:rsidR="009C3D9C" w:rsidRDefault="009C3D9C" w:rsidP="00F668C6">
      <w:pPr>
        <w:jc w:val="both"/>
      </w:pPr>
    </w:p>
    <w:p w14:paraId="7B5F0DD7" w14:textId="77777777" w:rsidR="009C3D9C" w:rsidRDefault="009C3D9C" w:rsidP="00F668C6">
      <w:pPr>
        <w:jc w:val="both"/>
      </w:pPr>
    </w:p>
    <w:p w14:paraId="08A2EBD7" w14:textId="77777777" w:rsidR="009C3D9C" w:rsidRDefault="009C3D9C" w:rsidP="00F668C6">
      <w:pPr>
        <w:jc w:val="both"/>
      </w:pPr>
    </w:p>
    <w:p w14:paraId="6D3E5EF6" w14:textId="77777777" w:rsidR="009C3D9C" w:rsidRDefault="009C3D9C" w:rsidP="00F668C6">
      <w:pPr>
        <w:jc w:val="both"/>
      </w:pPr>
    </w:p>
    <w:p w14:paraId="0CCDE4A1" w14:textId="5EA135F2" w:rsidR="009C3D9C" w:rsidRPr="009C3D9C" w:rsidRDefault="009C3D9C" w:rsidP="00F668C6">
      <w:pPr>
        <w:jc w:val="both"/>
        <w:rPr>
          <w:u w:val="single"/>
        </w:rPr>
      </w:pPr>
      <w:r w:rsidRPr="009C3D9C">
        <w:rPr>
          <w:u w:val="single"/>
        </w:rPr>
        <w:t xml:space="preserve">This </w:t>
      </w:r>
      <w:r w:rsidR="00494D95">
        <w:rPr>
          <w:u w:val="single"/>
        </w:rPr>
        <w:t>report</w:t>
      </w:r>
      <w:r w:rsidRPr="009C3D9C">
        <w:rPr>
          <w:u w:val="single"/>
        </w:rPr>
        <w:t xml:space="preserve"> was written by</w:t>
      </w:r>
      <w:r w:rsidR="00606783">
        <w:rPr>
          <w:u w:val="single"/>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2"/>
        <w:gridCol w:w="3316"/>
        <w:gridCol w:w="2938"/>
      </w:tblGrid>
      <w:tr w:rsidR="00240310" w:rsidRPr="009C3D9C" w14:paraId="669B7BA8" w14:textId="77777777" w:rsidTr="28A23E78">
        <w:tc>
          <w:tcPr>
            <w:tcW w:w="2772" w:type="dxa"/>
          </w:tcPr>
          <w:p w14:paraId="0722D412" w14:textId="77777777" w:rsidR="00240310" w:rsidRPr="009C3D9C" w:rsidRDefault="00240310" w:rsidP="005109CF">
            <w:pPr>
              <w:jc w:val="both"/>
              <w:rPr>
                <w:b/>
              </w:rPr>
            </w:pPr>
            <w:r w:rsidRPr="009918EF">
              <w:rPr>
                <w:b/>
              </w:rPr>
              <w:t>Jorge Modrego</w:t>
            </w:r>
          </w:p>
        </w:tc>
        <w:tc>
          <w:tcPr>
            <w:tcW w:w="3316" w:type="dxa"/>
          </w:tcPr>
          <w:p w14:paraId="5E2E727B" w14:textId="4A718B7E" w:rsidR="00240310" w:rsidRDefault="00240310" w:rsidP="005109CF">
            <w:pPr>
              <w:jc w:val="both"/>
            </w:pPr>
            <w:proofErr w:type="spellStart"/>
            <w:r>
              <w:t>E</w:t>
            </w:r>
            <w:r w:rsidR="001613CD">
              <w:t>nagás</w:t>
            </w:r>
            <w:proofErr w:type="spellEnd"/>
          </w:p>
        </w:tc>
        <w:tc>
          <w:tcPr>
            <w:tcW w:w="2938" w:type="dxa"/>
          </w:tcPr>
          <w:p w14:paraId="36EABE83" w14:textId="77777777" w:rsidR="00240310" w:rsidRPr="009C3D9C" w:rsidRDefault="00240310" w:rsidP="005109CF">
            <w:pPr>
              <w:jc w:val="both"/>
              <w:rPr>
                <w:i/>
              </w:rPr>
            </w:pPr>
            <w:r w:rsidRPr="009918EF">
              <w:rPr>
                <w:i/>
              </w:rPr>
              <w:t>jmodrego@enagas.es</w:t>
            </w:r>
          </w:p>
        </w:tc>
      </w:tr>
      <w:tr w:rsidR="000E0DEE" w:rsidRPr="009C3D9C" w14:paraId="5577962D" w14:textId="77777777" w:rsidTr="28A23E78">
        <w:tc>
          <w:tcPr>
            <w:tcW w:w="2772" w:type="dxa"/>
          </w:tcPr>
          <w:p w14:paraId="23FA44BC" w14:textId="77777777" w:rsidR="000E0DEE" w:rsidRPr="009C3D9C" w:rsidRDefault="000E0DEE" w:rsidP="00F668C6">
            <w:pPr>
              <w:jc w:val="both"/>
              <w:rPr>
                <w:b/>
              </w:rPr>
            </w:pPr>
            <w:r>
              <w:rPr>
                <w:b/>
              </w:rPr>
              <w:t>Dennis van Putten</w:t>
            </w:r>
          </w:p>
        </w:tc>
        <w:tc>
          <w:tcPr>
            <w:tcW w:w="3316" w:type="dxa"/>
          </w:tcPr>
          <w:p w14:paraId="532BB2B8" w14:textId="77777777" w:rsidR="000E0DEE" w:rsidRDefault="000E0DEE" w:rsidP="00F668C6">
            <w:pPr>
              <w:jc w:val="both"/>
            </w:pPr>
            <w:r>
              <w:t xml:space="preserve">DNV </w:t>
            </w:r>
          </w:p>
        </w:tc>
        <w:tc>
          <w:tcPr>
            <w:tcW w:w="2938" w:type="dxa"/>
          </w:tcPr>
          <w:p w14:paraId="4E740F30" w14:textId="77777777" w:rsidR="000E0DEE" w:rsidRPr="009C3D9C" w:rsidRDefault="000E0DEE" w:rsidP="00F668C6">
            <w:pPr>
              <w:jc w:val="both"/>
              <w:rPr>
                <w:i/>
              </w:rPr>
            </w:pPr>
            <w:r w:rsidRPr="009918EF">
              <w:rPr>
                <w:i/>
              </w:rPr>
              <w:t>Dennis.vanPutten@dnv.com</w:t>
            </w:r>
          </w:p>
        </w:tc>
      </w:tr>
      <w:tr w:rsidR="00624342" w:rsidRPr="009C3D9C" w14:paraId="50B95498" w14:textId="77777777" w:rsidTr="28A23E78">
        <w:tc>
          <w:tcPr>
            <w:tcW w:w="2772" w:type="dxa"/>
          </w:tcPr>
          <w:p w14:paraId="492222B5" w14:textId="77777777" w:rsidR="00624342" w:rsidRPr="009C3D9C" w:rsidRDefault="00624342" w:rsidP="005109CF">
            <w:pPr>
              <w:jc w:val="both"/>
              <w:rPr>
                <w:b/>
              </w:rPr>
            </w:pPr>
            <w:r>
              <w:rPr>
                <w:b/>
              </w:rPr>
              <w:t>Gabriele Chinello</w:t>
            </w:r>
          </w:p>
        </w:tc>
        <w:tc>
          <w:tcPr>
            <w:tcW w:w="3316" w:type="dxa"/>
          </w:tcPr>
          <w:p w14:paraId="3D9A5564" w14:textId="77777777" w:rsidR="00624342" w:rsidRDefault="00624342" w:rsidP="005109CF">
            <w:pPr>
              <w:jc w:val="both"/>
            </w:pPr>
            <w:r>
              <w:t>NEL</w:t>
            </w:r>
          </w:p>
        </w:tc>
        <w:tc>
          <w:tcPr>
            <w:tcW w:w="2938" w:type="dxa"/>
          </w:tcPr>
          <w:p w14:paraId="64CABCC9" w14:textId="77777777" w:rsidR="00624342" w:rsidRPr="009C3D9C" w:rsidRDefault="00624342" w:rsidP="005109CF">
            <w:pPr>
              <w:jc w:val="both"/>
              <w:rPr>
                <w:i/>
              </w:rPr>
            </w:pPr>
            <w:r>
              <w:rPr>
                <w:i/>
              </w:rPr>
              <w:t>Gabriele.chinello@tuvsud.com</w:t>
            </w:r>
          </w:p>
        </w:tc>
      </w:tr>
      <w:tr w:rsidR="000E0DEE" w:rsidRPr="009C3D9C" w14:paraId="4B0762BC" w14:textId="77777777" w:rsidTr="28A23E78">
        <w:tc>
          <w:tcPr>
            <w:tcW w:w="2772" w:type="dxa"/>
          </w:tcPr>
          <w:p w14:paraId="524223EE" w14:textId="77777777" w:rsidR="000E0DEE" w:rsidRPr="009C3D9C" w:rsidRDefault="000E0DEE" w:rsidP="00F668C6">
            <w:pPr>
              <w:jc w:val="both"/>
              <w:rPr>
                <w:b/>
              </w:rPr>
            </w:pPr>
            <w:r>
              <w:rPr>
                <w:b/>
              </w:rPr>
              <w:t xml:space="preserve">Chris Mills </w:t>
            </w:r>
          </w:p>
        </w:tc>
        <w:tc>
          <w:tcPr>
            <w:tcW w:w="3316" w:type="dxa"/>
          </w:tcPr>
          <w:p w14:paraId="4E6934DB" w14:textId="77777777" w:rsidR="000E0DEE" w:rsidRDefault="000E0DEE" w:rsidP="00F668C6">
            <w:pPr>
              <w:jc w:val="both"/>
            </w:pPr>
            <w:r>
              <w:t>NEL</w:t>
            </w:r>
          </w:p>
        </w:tc>
        <w:tc>
          <w:tcPr>
            <w:tcW w:w="2938" w:type="dxa"/>
          </w:tcPr>
          <w:p w14:paraId="351D95C4" w14:textId="77777777" w:rsidR="000E0DEE" w:rsidRPr="009C3D9C" w:rsidRDefault="000E0DEE" w:rsidP="00F668C6">
            <w:pPr>
              <w:jc w:val="both"/>
              <w:rPr>
                <w:i/>
              </w:rPr>
            </w:pPr>
            <w:r w:rsidRPr="009918EF">
              <w:rPr>
                <w:i/>
              </w:rPr>
              <w:t>Chris.Mills@tuvsud.com</w:t>
            </w:r>
          </w:p>
        </w:tc>
      </w:tr>
      <w:tr w:rsidR="009C3D9C" w14:paraId="5A8EA5B5" w14:textId="77777777" w:rsidTr="28A23E78">
        <w:tc>
          <w:tcPr>
            <w:tcW w:w="2772" w:type="dxa"/>
          </w:tcPr>
          <w:p w14:paraId="6EBBC536" w14:textId="2BFF1072" w:rsidR="009C3D9C" w:rsidRPr="009C3D9C" w:rsidRDefault="79992C6F" w:rsidP="28A23E78">
            <w:pPr>
              <w:spacing w:line="259" w:lineRule="auto"/>
              <w:jc w:val="both"/>
              <w:rPr>
                <w:b/>
                <w:bCs/>
                <w:szCs w:val="20"/>
              </w:rPr>
            </w:pPr>
            <w:r w:rsidRPr="28A23E78">
              <w:rPr>
                <w:b/>
                <w:bCs/>
              </w:rPr>
              <w:t xml:space="preserve">Marcel Workamp </w:t>
            </w:r>
          </w:p>
        </w:tc>
        <w:tc>
          <w:tcPr>
            <w:tcW w:w="3316" w:type="dxa"/>
          </w:tcPr>
          <w:p w14:paraId="3489A371" w14:textId="597233BF" w:rsidR="009C3D9C" w:rsidRDefault="009918EF" w:rsidP="00F668C6">
            <w:pPr>
              <w:jc w:val="both"/>
            </w:pPr>
            <w:r>
              <w:t>VSL</w:t>
            </w:r>
          </w:p>
        </w:tc>
        <w:tc>
          <w:tcPr>
            <w:tcW w:w="2938" w:type="dxa"/>
          </w:tcPr>
          <w:p w14:paraId="1F4FFC4C" w14:textId="54AD5436" w:rsidR="009C3D9C" w:rsidRPr="009C3D9C" w:rsidRDefault="34CCF84F" w:rsidP="28A23E78">
            <w:pPr>
              <w:jc w:val="both"/>
              <w:rPr>
                <w:i/>
                <w:iCs/>
              </w:rPr>
            </w:pPr>
            <w:r w:rsidRPr="28A23E78">
              <w:rPr>
                <w:i/>
                <w:iCs/>
                <w:szCs w:val="20"/>
              </w:rPr>
              <w:t>mworkamp@vsl.nl</w:t>
            </w:r>
          </w:p>
        </w:tc>
      </w:tr>
      <w:tr w:rsidR="00240310" w14:paraId="110EE553" w14:textId="77777777" w:rsidTr="28A23E78">
        <w:tc>
          <w:tcPr>
            <w:tcW w:w="2772" w:type="dxa"/>
          </w:tcPr>
          <w:p w14:paraId="2858DC3F" w14:textId="77777777" w:rsidR="00240310" w:rsidRPr="009918EF" w:rsidRDefault="00240310" w:rsidP="00F668C6">
            <w:pPr>
              <w:jc w:val="both"/>
              <w:rPr>
                <w:b/>
              </w:rPr>
            </w:pPr>
          </w:p>
        </w:tc>
        <w:tc>
          <w:tcPr>
            <w:tcW w:w="3316" w:type="dxa"/>
          </w:tcPr>
          <w:p w14:paraId="740636A6" w14:textId="77777777" w:rsidR="00240310" w:rsidRDefault="00240310" w:rsidP="00F668C6">
            <w:pPr>
              <w:jc w:val="both"/>
            </w:pPr>
          </w:p>
        </w:tc>
        <w:tc>
          <w:tcPr>
            <w:tcW w:w="2938" w:type="dxa"/>
          </w:tcPr>
          <w:p w14:paraId="2D6B8660" w14:textId="77777777" w:rsidR="00240310" w:rsidRPr="009918EF" w:rsidRDefault="00240310" w:rsidP="00F668C6">
            <w:pPr>
              <w:jc w:val="both"/>
              <w:rPr>
                <w:i/>
              </w:rPr>
            </w:pPr>
          </w:p>
        </w:tc>
      </w:tr>
      <w:tr w:rsidR="009C3D9C" w14:paraId="5822BFA6" w14:textId="77777777" w:rsidTr="28A23E78">
        <w:tc>
          <w:tcPr>
            <w:tcW w:w="2772" w:type="dxa"/>
          </w:tcPr>
          <w:p w14:paraId="2D77F024" w14:textId="0F61DDC4" w:rsidR="009C3D9C" w:rsidRPr="009C3D9C" w:rsidRDefault="009C3D9C" w:rsidP="00F668C6">
            <w:pPr>
              <w:jc w:val="both"/>
              <w:rPr>
                <w:b/>
              </w:rPr>
            </w:pPr>
          </w:p>
        </w:tc>
        <w:tc>
          <w:tcPr>
            <w:tcW w:w="3316" w:type="dxa"/>
          </w:tcPr>
          <w:p w14:paraId="6D445151" w14:textId="13DFE506" w:rsidR="009C3D9C" w:rsidRDefault="009C3D9C" w:rsidP="00F668C6">
            <w:pPr>
              <w:jc w:val="both"/>
            </w:pPr>
          </w:p>
        </w:tc>
        <w:tc>
          <w:tcPr>
            <w:tcW w:w="2938" w:type="dxa"/>
          </w:tcPr>
          <w:p w14:paraId="70F09220" w14:textId="0FB0FCD3" w:rsidR="009C3D9C" w:rsidRPr="009C3D9C" w:rsidRDefault="009C3D9C" w:rsidP="00F668C6">
            <w:pPr>
              <w:jc w:val="both"/>
              <w:rPr>
                <w:i/>
              </w:rPr>
            </w:pPr>
          </w:p>
        </w:tc>
      </w:tr>
      <w:tr w:rsidR="009C3D9C" w14:paraId="76A077D4" w14:textId="77777777" w:rsidTr="28A23E78">
        <w:tc>
          <w:tcPr>
            <w:tcW w:w="2772" w:type="dxa"/>
          </w:tcPr>
          <w:p w14:paraId="481F1E0B" w14:textId="3AE55496" w:rsidR="009C3D9C" w:rsidRPr="009C3D9C" w:rsidRDefault="009C3D9C" w:rsidP="00F668C6">
            <w:pPr>
              <w:jc w:val="both"/>
              <w:rPr>
                <w:b/>
              </w:rPr>
            </w:pPr>
          </w:p>
        </w:tc>
        <w:tc>
          <w:tcPr>
            <w:tcW w:w="3316" w:type="dxa"/>
          </w:tcPr>
          <w:p w14:paraId="6CD0648F" w14:textId="6FB62CE6" w:rsidR="009C3D9C" w:rsidRDefault="009C3D9C" w:rsidP="00F668C6">
            <w:pPr>
              <w:jc w:val="both"/>
            </w:pPr>
          </w:p>
        </w:tc>
        <w:tc>
          <w:tcPr>
            <w:tcW w:w="2938" w:type="dxa"/>
          </w:tcPr>
          <w:p w14:paraId="11AEB69E" w14:textId="38855FBA" w:rsidR="009C3D9C" w:rsidRPr="009C3D9C" w:rsidRDefault="009C3D9C" w:rsidP="00F668C6">
            <w:pPr>
              <w:jc w:val="both"/>
              <w:rPr>
                <w:i/>
              </w:rPr>
            </w:pPr>
          </w:p>
        </w:tc>
      </w:tr>
    </w:tbl>
    <w:p w14:paraId="13D1702E" w14:textId="77777777" w:rsidR="00494D95" w:rsidRDefault="00494D95" w:rsidP="00F668C6">
      <w:pPr>
        <w:jc w:val="both"/>
      </w:pPr>
    </w:p>
    <w:p w14:paraId="64C955E6" w14:textId="77777777" w:rsidR="00494D95" w:rsidRDefault="00494D95" w:rsidP="00F668C6">
      <w:pPr>
        <w:jc w:val="both"/>
      </w:pPr>
    </w:p>
    <w:p w14:paraId="1AF13372" w14:textId="77777777" w:rsidR="00494D95" w:rsidRDefault="00494D95" w:rsidP="00F668C6">
      <w:pPr>
        <w:jc w:val="both"/>
      </w:pPr>
    </w:p>
    <w:p w14:paraId="324F5C8E" w14:textId="77777777" w:rsidR="00494D95" w:rsidRDefault="00494D95" w:rsidP="00F668C6">
      <w:pPr>
        <w:jc w:val="both"/>
      </w:pPr>
    </w:p>
    <w:p w14:paraId="299E79A5" w14:textId="77777777" w:rsidR="00494D95" w:rsidRDefault="00494D95" w:rsidP="00F668C6">
      <w:pPr>
        <w:jc w:val="both"/>
      </w:pPr>
    </w:p>
    <w:p w14:paraId="3FAD8269" w14:textId="77777777" w:rsidR="00494D95" w:rsidRDefault="00494D95" w:rsidP="00F668C6">
      <w:pPr>
        <w:jc w:val="both"/>
      </w:pPr>
    </w:p>
    <w:p w14:paraId="7E70DD51" w14:textId="77777777" w:rsidR="00494D95" w:rsidRDefault="00494D95" w:rsidP="00F668C6">
      <w:pPr>
        <w:jc w:val="both"/>
      </w:pPr>
    </w:p>
    <w:p w14:paraId="4AE77133" w14:textId="77777777" w:rsidR="00494D95" w:rsidRDefault="00494D95" w:rsidP="00F668C6">
      <w:pPr>
        <w:jc w:val="both"/>
      </w:pPr>
    </w:p>
    <w:p w14:paraId="2BEE8646" w14:textId="77777777" w:rsidR="00494D95" w:rsidRDefault="00494D95" w:rsidP="00F668C6">
      <w:pPr>
        <w:jc w:val="both"/>
      </w:pPr>
    </w:p>
    <w:p w14:paraId="78A1EF9C" w14:textId="77777777" w:rsidR="00AC3C6B" w:rsidRDefault="00494D95" w:rsidP="00F668C6">
      <w:pPr>
        <w:jc w:val="both"/>
      </w:pPr>
      <w:r>
        <w:rPr>
          <w:noProof/>
          <w:lang w:eastAsia="en-GB"/>
        </w:rPr>
        <w:drawing>
          <wp:inline distT="0" distB="0" distL="0" distR="0" wp14:anchorId="3D8610B1" wp14:editId="5B3B3861">
            <wp:extent cx="5731510" cy="1494184"/>
            <wp:effectExtent l="0" t="0" r="2540" b="0"/>
            <wp:docPr id="2" name="Picture 2" descr="https://msu.euramet.org/downloads/documents/EMPI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su.euramet.org/downloads/documents/EMPIR_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1494184"/>
                    </a:xfrm>
                    <a:prstGeom prst="rect">
                      <a:avLst/>
                    </a:prstGeom>
                    <a:noFill/>
                    <a:ln>
                      <a:noFill/>
                    </a:ln>
                  </pic:spPr>
                </pic:pic>
              </a:graphicData>
            </a:graphic>
          </wp:inline>
        </w:drawing>
      </w:r>
      <w:r w:rsidR="00AC3C6B">
        <w:br w:type="page"/>
      </w:r>
    </w:p>
    <w:sdt>
      <w:sdtPr>
        <w:rPr>
          <w:rFonts w:asciiTheme="minorHAnsi" w:eastAsiaTheme="minorHAnsi" w:hAnsiTheme="minorHAnsi" w:cstheme="minorBidi"/>
          <w:color w:val="auto"/>
          <w:sz w:val="22"/>
          <w:szCs w:val="22"/>
          <w:lang w:val="en-GB"/>
        </w:rPr>
        <w:id w:val="1701057075"/>
        <w:docPartObj>
          <w:docPartGallery w:val="Table of Contents"/>
          <w:docPartUnique/>
        </w:docPartObj>
      </w:sdtPr>
      <w:sdtEndPr>
        <w:rPr>
          <w:b/>
          <w:bCs/>
          <w:noProof/>
          <w:sz w:val="20"/>
        </w:rPr>
      </w:sdtEndPr>
      <w:sdtContent>
        <w:p w14:paraId="77723F1C" w14:textId="77777777" w:rsidR="00AC3C6B" w:rsidRDefault="00AC3C6B" w:rsidP="00F668C6">
          <w:pPr>
            <w:pStyle w:val="TOCHeading"/>
            <w:jc w:val="both"/>
          </w:pPr>
          <w:r>
            <w:t>Contents</w:t>
          </w:r>
        </w:p>
        <w:p w14:paraId="0739B943" w14:textId="6FA2D557" w:rsidR="00BD6DD6" w:rsidRDefault="00AC3C6B">
          <w:pPr>
            <w:pStyle w:val="TOC1"/>
            <w:tabs>
              <w:tab w:val="right" w:leader="dot" w:pos="9016"/>
            </w:tabs>
            <w:rPr>
              <w:rFonts w:eastAsiaTheme="minorEastAsia"/>
              <w:noProof/>
              <w:sz w:val="22"/>
              <w:lang w:eastAsia="en-GB"/>
            </w:rPr>
          </w:pPr>
          <w:r>
            <w:fldChar w:fldCharType="begin"/>
          </w:r>
          <w:r>
            <w:instrText xml:space="preserve"> TOC \o "1-3" \h \z \u </w:instrText>
          </w:r>
          <w:r>
            <w:fldChar w:fldCharType="separate"/>
          </w:r>
          <w:hyperlink w:anchor="_Toc121830925" w:history="1">
            <w:r w:rsidR="00BD6DD6" w:rsidRPr="00EE3B27">
              <w:rPr>
                <w:rStyle w:val="Hyperlink"/>
                <w:noProof/>
              </w:rPr>
              <w:t>EXECUTIVE SUMMARY</w:t>
            </w:r>
            <w:r w:rsidR="00BD6DD6">
              <w:rPr>
                <w:noProof/>
                <w:webHidden/>
              </w:rPr>
              <w:tab/>
            </w:r>
            <w:r w:rsidR="00BD6DD6">
              <w:rPr>
                <w:noProof/>
                <w:webHidden/>
              </w:rPr>
              <w:fldChar w:fldCharType="begin"/>
            </w:r>
            <w:r w:rsidR="00BD6DD6">
              <w:rPr>
                <w:noProof/>
                <w:webHidden/>
              </w:rPr>
              <w:instrText xml:space="preserve"> PAGEREF _Toc121830925 \h </w:instrText>
            </w:r>
            <w:r w:rsidR="00BD6DD6">
              <w:rPr>
                <w:noProof/>
                <w:webHidden/>
              </w:rPr>
            </w:r>
            <w:r w:rsidR="00BD6DD6">
              <w:rPr>
                <w:noProof/>
                <w:webHidden/>
              </w:rPr>
              <w:fldChar w:fldCharType="separate"/>
            </w:r>
            <w:r w:rsidR="00BD6DD6">
              <w:rPr>
                <w:noProof/>
                <w:webHidden/>
              </w:rPr>
              <w:t>4</w:t>
            </w:r>
            <w:r w:rsidR="00BD6DD6">
              <w:rPr>
                <w:noProof/>
                <w:webHidden/>
              </w:rPr>
              <w:fldChar w:fldCharType="end"/>
            </w:r>
          </w:hyperlink>
        </w:p>
        <w:p w14:paraId="4C84FC08" w14:textId="0E532B2D" w:rsidR="00BD6DD6" w:rsidRDefault="00BD6DD6">
          <w:pPr>
            <w:pStyle w:val="TOC1"/>
            <w:tabs>
              <w:tab w:val="right" w:leader="dot" w:pos="9016"/>
            </w:tabs>
            <w:rPr>
              <w:rFonts w:eastAsiaTheme="minorEastAsia"/>
              <w:noProof/>
              <w:sz w:val="22"/>
              <w:lang w:eastAsia="en-GB"/>
            </w:rPr>
          </w:pPr>
          <w:hyperlink w:anchor="_Toc121830926" w:history="1">
            <w:r w:rsidRPr="00EE3B27">
              <w:rPr>
                <w:rStyle w:val="Hyperlink"/>
                <w:noProof/>
              </w:rPr>
              <w:t>1. INTRODUCTION</w:t>
            </w:r>
            <w:r>
              <w:rPr>
                <w:noProof/>
                <w:webHidden/>
              </w:rPr>
              <w:tab/>
            </w:r>
            <w:r>
              <w:rPr>
                <w:noProof/>
                <w:webHidden/>
              </w:rPr>
              <w:fldChar w:fldCharType="begin"/>
            </w:r>
            <w:r>
              <w:rPr>
                <w:noProof/>
                <w:webHidden/>
              </w:rPr>
              <w:instrText xml:space="preserve"> PAGEREF _Toc121830926 \h </w:instrText>
            </w:r>
            <w:r>
              <w:rPr>
                <w:noProof/>
                <w:webHidden/>
              </w:rPr>
            </w:r>
            <w:r>
              <w:rPr>
                <w:noProof/>
                <w:webHidden/>
              </w:rPr>
              <w:fldChar w:fldCharType="separate"/>
            </w:r>
            <w:r>
              <w:rPr>
                <w:noProof/>
                <w:webHidden/>
              </w:rPr>
              <w:t>7</w:t>
            </w:r>
            <w:r>
              <w:rPr>
                <w:noProof/>
                <w:webHidden/>
              </w:rPr>
              <w:fldChar w:fldCharType="end"/>
            </w:r>
          </w:hyperlink>
        </w:p>
        <w:p w14:paraId="24C59DB1" w14:textId="298720D1" w:rsidR="00BD6DD6" w:rsidRDefault="00BD6DD6">
          <w:pPr>
            <w:pStyle w:val="TOC1"/>
            <w:tabs>
              <w:tab w:val="right" w:leader="dot" w:pos="9016"/>
            </w:tabs>
            <w:rPr>
              <w:rFonts w:eastAsiaTheme="minorEastAsia"/>
              <w:noProof/>
              <w:sz w:val="22"/>
              <w:lang w:eastAsia="en-GB"/>
            </w:rPr>
          </w:pPr>
          <w:hyperlink w:anchor="_Toc121830927" w:history="1">
            <w:r w:rsidRPr="00EE3B27">
              <w:rPr>
                <w:rStyle w:val="Hyperlink"/>
                <w:noProof/>
              </w:rPr>
              <w:t>2. SCOPE</w:t>
            </w:r>
            <w:r>
              <w:rPr>
                <w:noProof/>
                <w:webHidden/>
              </w:rPr>
              <w:tab/>
            </w:r>
            <w:r>
              <w:rPr>
                <w:noProof/>
                <w:webHidden/>
              </w:rPr>
              <w:fldChar w:fldCharType="begin"/>
            </w:r>
            <w:r>
              <w:rPr>
                <w:noProof/>
                <w:webHidden/>
              </w:rPr>
              <w:instrText xml:space="preserve"> PAGEREF _Toc121830927 \h </w:instrText>
            </w:r>
            <w:r>
              <w:rPr>
                <w:noProof/>
                <w:webHidden/>
              </w:rPr>
            </w:r>
            <w:r>
              <w:rPr>
                <w:noProof/>
                <w:webHidden/>
              </w:rPr>
              <w:fldChar w:fldCharType="separate"/>
            </w:r>
            <w:r>
              <w:rPr>
                <w:noProof/>
                <w:webHidden/>
              </w:rPr>
              <w:t>8</w:t>
            </w:r>
            <w:r>
              <w:rPr>
                <w:noProof/>
                <w:webHidden/>
              </w:rPr>
              <w:fldChar w:fldCharType="end"/>
            </w:r>
          </w:hyperlink>
        </w:p>
        <w:p w14:paraId="4C3F6086" w14:textId="660BFF30" w:rsidR="00BD6DD6" w:rsidRDefault="00BD6DD6">
          <w:pPr>
            <w:pStyle w:val="TOC1"/>
            <w:tabs>
              <w:tab w:val="right" w:leader="dot" w:pos="9016"/>
            </w:tabs>
            <w:rPr>
              <w:rFonts w:eastAsiaTheme="minorEastAsia"/>
              <w:noProof/>
              <w:sz w:val="22"/>
              <w:lang w:eastAsia="en-GB"/>
            </w:rPr>
          </w:pPr>
          <w:hyperlink w:anchor="_Toc121830928" w:history="1">
            <w:r w:rsidRPr="00EE3B27">
              <w:rPr>
                <w:rStyle w:val="Hyperlink"/>
                <w:noProof/>
              </w:rPr>
              <w:t>3. EUROPEAN GAS GRIDS OPERATING RANGES FOR HYDROGEN</w:t>
            </w:r>
            <w:r>
              <w:rPr>
                <w:noProof/>
                <w:webHidden/>
              </w:rPr>
              <w:tab/>
            </w:r>
            <w:r>
              <w:rPr>
                <w:noProof/>
                <w:webHidden/>
              </w:rPr>
              <w:fldChar w:fldCharType="begin"/>
            </w:r>
            <w:r>
              <w:rPr>
                <w:noProof/>
                <w:webHidden/>
              </w:rPr>
              <w:instrText xml:space="preserve"> PAGEREF _Toc121830928 \h </w:instrText>
            </w:r>
            <w:r>
              <w:rPr>
                <w:noProof/>
                <w:webHidden/>
              </w:rPr>
            </w:r>
            <w:r>
              <w:rPr>
                <w:noProof/>
                <w:webHidden/>
              </w:rPr>
              <w:fldChar w:fldCharType="separate"/>
            </w:r>
            <w:r>
              <w:rPr>
                <w:noProof/>
                <w:webHidden/>
              </w:rPr>
              <w:t>9</w:t>
            </w:r>
            <w:r>
              <w:rPr>
                <w:noProof/>
                <w:webHidden/>
              </w:rPr>
              <w:fldChar w:fldCharType="end"/>
            </w:r>
          </w:hyperlink>
        </w:p>
        <w:p w14:paraId="3666CAA0" w14:textId="75CED6D8" w:rsidR="00BD6DD6" w:rsidRDefault="00BD6DD6">
          <w:pPr>
            <w:pStyle w:val="TOC2"/>
            <w:tabs>
              <w:tab w:val="right" w:leader="dot" w:pos="9016"/>
            </w:tabs>
            <w:rPr>
              <w:rFonts w:eastAsiaTheme="minorEastAsia"/>
              <w:noProof/>
              <w:sz w:val="22"/>
              <w:lang w:eastAsia="en-GB"/>
            </w:rPr>
          </w:pPr>
          <w:hyperlink w:anchor="_Toc121830929" w:history="1">
            <w:r w:rsidRPr="00EE3B27">
              <w:rPr>
                <w:rStyle w:val="Hyperlink"/>
                <w:noProof/>
              </w:rPr>
              <w:t>3.1 HYDROGEN CONCENTRATION</w:t>
            </w:r>
            <w:r>
              <w:rPr>
                <w:noProof/>
                <w:webHidden/>
              </w:rPr>
              <w:tab/>
            </w:r>
            <w:r>
              <w:rPr>
                <w:noProof/>
                <w:webHidden/>
              </w:rPr>
              <w:fldChar w:fldCharType="begin"/>
            </w:r>
            <w:r>
              <w:rPr>
                <w:noProof/>
                <w:webHidden/>
              </w:rPr>
              <w:instrText xml:space="preserve"> PAGEREF _Toc121830929 \h </w:instrText>
            </w:r>
            <w:r>
              <w:rPr>
                <w:noProof/>
                <w:webHidden/>
              </w:rPr>
            </w:r>
            <w:r>
              <w:rPr>
                <w:noProof/>
                <w:webHidden/>
              </w:rPr>
              <w:fldChar w:fldCharType="separate"/>
            </w:r>
            <w:r>
              <w:rPr>
                <w:noProof/>
                <w:webHidden/>
              </w:rPr>
              <w:t>9</w:t>
            </w:r>
            <w:r>
              <w:rPr>
                <w:noProof/>
                <w:webHidden/>
              </w:rPr>
              <w:fldChar w:fldCharType="end"/>
            </w:r>
          </w:hyperlink>
        </w:p>
        <w:p w14:paraId="20781CB7" w14:textId="39C0D0D2" w:rsidR="00BD6DD6" w:rsidRDefault="00BD6DD6">
          <w:pPr>
            <w:pStyle w:val="TOC3"/>
            <w:tabs>
              <w:tab w:val="right" w:leader="dot" w:pos="9016"/>
            </w:tabs>
            <w:rPr>
              <w:rFonts w:eastAsiaTheme="minorEastAsia"/>
              <w:noProof/>
              <w:sz w:val="22"/>
              <w:lang w:eastAsia="en-GB"/>
            </w:rPr>
          </w:pPr>
          <w:hyperlink w:anchor="_Toc121830930" w:history="1">
            <w:r w:rsidRPr="00EE3B27">
              <w:rPr>
                <w:rStyle w:val="Hyperlink"/>
                <w:noProof/>
              </w:rPr>
              <w:t>3.1.1 CURRENT GAS GRID HYDROGEN LIMITS</w:t>
            </w:r>
            <w:r>
              <w:rPr>
                <w:noProof/>
                <w:webHidden/>
              </w:rPr>
              <w:tab/>
            </w:r>
            <w:r>
              <w:rPr>
                <w:noProof/>
                <w:webHidden/>
              </w:rPr>
              <w:fldChar w:fldCharType="begin"/>
            </w:r>
            <w:r>
              <w:rPr>
                <w:noProof/>
                <w:webHidden/>
              </w:rPr>
              <w:instrText xml:space="preserve"> PAGEREF _Toc121830930 \h </w:instrText>
            </w:r>
            <w:r>
              <w:rPr>
                <w:noProof/>
                <w:webHidden/>
              </w:rPr>
            </w:r>
            <w:r>
              <w:rPr>
                <w:noProof/>
                <w:webHidden/>
              </w:rPr>
              <w:fldChar w:fldCharType="separate"/>
            </w:r>
            <w:r>
              <w:rPr>
                <w:noProof/>
                <w:webHidden/>
              </w:rPr>
              <w:t>10</w:t>
            </w:r>
            <w:r>
              <w:rPr>
                <w:noProof/>
                <w:webHidden/>
              </w:rPr>
              <w:fldChar w:fldCharType="end"/>
            </w:r>
          </w:hyperlink>
        </w:p>
        <w:p w14:paraId="3AF261FC" w14:textId="5DCD0E46" w:rsidR="00BD6DD6" w:rsidRDefault="00BD6DD6">
          <w:pPr>
            <w:pStyle w:val="TOC3"/>
            <w:tabs>
              <w:tab w:val="right" w:leader="dot" w:pos="9016"/>
            </w:tabs>
            <w:rPr>
              <w:rFonts w:eastAsiaTheme="minorEastAsia"/>
              <w:noProof/>
              <w:sz w:val="22"/>
              <w:lang w:eastAsia="en-GB"/>
            </w:rPr>
          </w:pPr>
          <w:hyperlink w:anchor="_Toc121830931" w:history="1">
            <w:r w:rsidRPr="00EE3B27">
              <w:rPr>
                <w:rStyle w:val="Hyperlink"/>
                <w:noProof/>
              </w:rPr>
              <w:t>3.1.2 TECHNICAL SUITABILITY OF GAS INFRASTRUCTURE TO HYDROGEN</w:t>
            </w:r>
            <w:r>
              <w:rPr>
                <w:noProof/>
                <w:webHidden/>
              </w:rPr>
              <w:tab/>
            </w:r>
            <w:r>
              <w:rPr>
                <w:noProof/>
                <w:webHidden/>
              </w:rPr>
              <w:fldChar w:fldCharType="begin"/>
            </w:r>
            <w:r>
              <w:rPr>
                <w:noProof/>
                <w:webHidden/>
              </w:rPr>
              <w:instrText xml:space="preserve"> PAGEREF _Toc121830931 \h </w:instrText>
            </w:r>
            <w:r>
              <w:rPr>
                <w:noProof/>
                <w:webHidden/>
              </w:rPr>
            </w:r>
            <w:r>
              <w:rPr>
                <w:noProof/>
                <w:webHidden/>
              </w:rPr>
              <w:fldChar w:fldCharType="separate"/>
            </w:r>
            <w:r>
              <w:rPr>
                <w:noProof/>
                <w:webHidden/>
              </w:rPr>
              <w:t>12</w:t>
            </w:r>
            <w:r>
              <w:rPr>
                <w:noProof/>
                <w:webHidden/>
              </w:rPr>
              <w:fldChar w:fldCharType="end"/>
            </w:r>
          </w:hyperlink>
        </w:p>
        <w:p w14:paraId="7FA5E1A6" w14:textId="4383F207" w:rsidR="00BD6DD6" w:rsidRDefault="00BD6DD6">
          <w:pPr>
            <w:pStyle w:val="TOC3"/>
            <w:tabs>
              <w:tab w:val="right" w:leader="dot" w:pos="9016"/>
            </w:tabs>
            <w:rPr>
              <w:rFonts w:eastAsiaTheme="minorEastAsia"/>
              <w:noProof/>
              <w:sz w:val="22"/>
              <w:lang w:eastAsia="en-GB"/>
            </w:rPr>
          </w:pPr>
          <w:hyperlink w:anchor="_Toc121830932" w:history="1">
            <w:r w:rsidRPr="00EE3B27">
              <w:rPr>
                <w:rStyle w:val="Hyperlink"/>
                <w:noProof/>
              </w:rPr>
              <w:t>3.1.3 RELEVANT STAKEHOLDERS’ POSITIONS</w:t>
            </w:r>
            <w:r>
              <w:rPr>
                <w:noProof/>
                <w:webHidden/>
              </w:rPr>
              <w:tab/>
            </w:r>
            <w:r>
              <w:rPr>
                <w:noProof/>
                <w:webHidden/>
              </w:rPr>
              <w:fldChar w:fldCharType="begin"/>
            </w:r>
            <w:r>
              <w:rPr>
                <w:noProof/>
                <w:webHidden/>
              </w:rPr>
              <w:instrText xml:space="preserve"> PAGEREF _Toc121830932 \h </w:instrText>
            </w:r>
            <w:r>
              <w:rPr>
                <w:noProof/>
                <w:webHidden/>
              </w:rPr>
            </w:r>
            <w:r>
              <w:rPr>
                <w:noProof/>
                <w:webHidden/>
              </w:rPr>
              <w:fldChar w:fldCharType="separate"/>
            </w:r>
            <w:r>
              <w:rPr>
                <w:noProof/>
                <w:webHidden/>
              </w:rPr>
              <w:t>14</w:t>
            </w:r>
            <w:r>
              <w:rPr>
                <w:noProof/>
                <w:webHidden/>
              </w:rPr>
              <w:fldChar w:fldCharType="end"/>
            </w:r>
          </w:hyperlink>
        </w:p>
        <w:p w14:paraId="19CEAD18" w14:textId="068FBF61" w:rsidR="00BD6DD6" w:rsidRDefault="00BD6DD6">
          <w:pPr>
            <w:pStyle w:val="TOC3"/>
            <w:tabs>
              <w:tab w:val="right" w:leader="dot" w:pos="9016"/>
            </w:tabs>
            <w:rPr>
              <w:rFonts w:eastAsiaTheme="minorEastAsia"/>
              <w:noProof/>
              <w:sz w:val="22"/>
              <w:lang w:eastAsia="en-GB"/>
            </w:rPr>
          </w:pPr>
          <w:hyperlink w:anchor="_Toc121830933" w:history="1">
            <w:r w:rsidRPr="00EE3B27">
              <w:rPr>
                <w:rStyle w:val="Hyperlink"/>
                <w:noProof/>
              </w:rPr>
              <w:t>3.1.4 HYDROGEN AND DECARBONISED GAS PACKAGE</w:t>
            </w:r>
            <w:r>
              <w:rPr>
                <w:noProof/>
                <w:webHidden/>
              </w:rPr>
              <w:tab/>
            </w:r>
            <w:r>
              <w:rPr>
                <w:noProof/>
                <w:webHidden/>
              </w:rPr>
              <w:fldChar w:fldCharType="begin"/>
            </w:r>
            <w:r>
              <w:rPr>
                <w:noProof/>
                <w:webHidden/>
              </w:rPr>
              <w:instrText xml:space="preserve"> PAGEREF _Toc121830933 \h </w:instrText>
            </w:r>
            <w:r>
              <w:rPr>
                <w:noProof/>
                <w:webHidden/>
              </w:rPr>
            </w:r>
            <w:r>
              <w:rPr>
                <w:noProof/>
                <w:webHidden/>
              </w:rPr>
              <w:fldChar w:fldCharType="separate"/>
            </w:r>
            <w:r>
              <w:rPr>
                <w:noProof/>
                <w:webHidden/>
              </w:rPr>
              <w:t>15</w:t>
            </w:r>
            <w:r>
              <w:rPr>
                <w:noProof/>
                <w:webHidden/>
              </w:rPr>
              <w:fldChar w:fldCharType="end"/>
            </w:r>
          </w:hyperlink>
        </w:p>
        <w:p w14:paraId="28D33B13" w14:textId="31CB2A2A" w:rsidR="00BD6DD6" w:rsidRDefault="00BD6DD6">
          <w:pPr>
            <w:pStyle w:val="TOC3"/>
            <w:tabs>
              <w:tab w:val="right" w:leader="dot" w:pos="9016"/>
            </w:tabs>
            <w:rPr>
              <w:rFonts w:eastAsiaTheme="minorEastAsia"/>
              <w:noProof/>
              <w:sz w:val="22"/>
              <w:lang w:eastAsia="en-GB"/>
            </w:rPr>
          </w:pPr>
          <w:hyperlink w:anchor="_Toc121830934" w:history="1">
            <w:r w:rsidRPr="00EE3B27">
              <w:rPr>
                <w:rStyle w:val="Hyperlink"/>
                <w:noProof/>
              </w:rPr>
              <w:t>3.1.5 PURE HYDROGEN INFRASTRUCTURE</w:t>
            </w:r>
            <w:r>
              <w:rPr>
                <w:noProof/>
                <w:webHidden/>
              </w:rPr>
              <w:tab/>
            </w:r>
            <w:r>
              <w:rPr>
                <w:noProof/>
                <w:webHidden/>
              </w:rPr>
              <w:fldChar w:fldCharType="begin"/>
            </w:r>
            <w:r>
              <w:rPr>
                <w:noProof/>
                <w:webHidden/>
              </w:rPr>
              <w:instrText xml:space="preserve"> PAGEREF _Toc121830934 \h </w:instrText>
            </w:r>
            <w:r>
              <w:rPr>
                <w:noProof/>
                <w:webHidden/>
              </w:rPr>
            </w:r>
            <w:r>
              <w:rPr>
                <w:noProof/>
                <w:webHidden/>
              </w:rPr>
              <w:fldChar w:fldCharType="separate"/>
            </w:r>
            <w:r>
              <w:rPr>
                <w:noProof/>
                <w:webHidden/>
              </w:rPr>
              <w:t>16</w:t>
            </w:r>
            <w:r>
              <w:rPr>
                <w:noProof/>
                <w:webHidden/>
              </w:rPr>
              <w:fldChar w:fldCharType="end"/>
            </w:r>
          </w:hyperlink>
        </w:p>
        <w:p w14:paraId="4A8E1B13" w14:textId="0DA362FD" w:rsidR="00BD6DD6" w:rsidRDefault="00BD6DD6">
          <w:pPr>
            <w:pStyle w:val="TOC3"/>
            <w:tabs>
              <w:tab w:val="right" w:leader="dot" w:pos="9016"/>
            </w:tabs>
            <w:rPr>
              <w:rFonts w:eastAsiaTheme="minorEastAsia"/>
              <w:noProof/>
              <w:sz w:val="22"/>
              <w:lang w:eastAsia="en-GB"/>
            </w:rPr>
          </w:pPr>
          <w:hyperlink w:anchor="_Toc121830935" w:history="1">
            <w:r w:rsidRPr="00EE3B27">
              <w:rPr>
                <w:rStyle w:val="Hyperlink"/>
                <w:noProof/>
              </w:rPr>
              <w:t>3.1.6 HYDROGEN QUALITY</w:t>
            </w:r>
            <w:r>
              <w:rPr>
                <w:noProof/>
                <w:webHidden/>
              </w:rPr>
              <w:tab/>
            </w:r>
            <w:r>
              <w:rPr>
                <w:noProof/>
                <w:webHidden/>
              </w:rPr>
              <w:fldChar w:fldCharType="begin"/>
            </w:r>
            <w:r>
              <w:rPr>
                <w:noProof/>
                <w:webHidden/>
              </w:rPr>
              <w:instrText xml:space="preserve"> PAGEREF _Toc121830935 \h </w:instrText>
            </w:r>
            <w:r>
              <w:rPr>
                <w:noProof/>
                <w:webHidden/>
              </w:rPr>
            </w:r>
            <w:r>
              <w:rPr>
                <w:noProof/>
                <w:webHidden/>
              </w:rPr>
              <w:fldChar w:fldCharType="separate"/>
            </w:r>
            <w:r>
              <w:rPr>
                <w:noProof/>
                <w:webHidden/>
              </w:rPr>
              <w:t>17</w:t>
            </w:r>
            <w:r>
              <w:rPr>
                <w:noProof/>
                <w:webHidden/>
              </w:rPr>
              <w:fldChar w:fldCharType="end"/>
            </w:r>
          </w:hyperlink>
        </w:p>
        <w:p w14:paraId="48B17334" w14:textId="7D83379E" w:rsidR="00BD6DD6" w:rsidRDefault="00BD6DD6">
          <w:pPr>
            <w:pStyle w:val="TOC2"/>
            <w:tabs>
              <w:tab w:val="right" w:leader="dot" w:pos="9016"/>
            </w:tabs>
            <w:rPr>
              <w:rFonts w:eastAsiaTheme="minorEastAsia"/>
              <w:noProof/>
              <w:sz w:val="22"/>
              <w:lang w:eastAsia="en-GB"/>
            </w:rPr>
          </w:pPr>
          <w:hyperlink w:anchor="_Toc121830936" w:history="1">
            <w:r w:rsidRPr="00EE3B27">
              <w:rPr>
                <w:rStyle w:val="Hyperlink"/>
                <w:noProof/>
              </w:rPr>
              <w:t>3.2. PRESSURE, FLOW RATE AND TEMPERATURE</w:t>
            </w:r>
            <w:r>
              <w:rPr>
                <w:noProof/>
                <w:webHidden/>
              </w:rPr>
              <w:tab/>
            </w:r>
            <w:r>
              <w:rPr>
                <w:noProof/>
                <w:webHidden/>
              </w:rPr>
              <w:fldChar w:fldCharType="begin"/>
            </w:r>
            <w:r>
              <w:rPr>
                <w:noProof/>
                <w:webHidden/>
              </w:rPr>
              <w:instrText xml:space="preserve"> PAGEREF _Toc121830936 \h </w:instrText>
            </w:r>
            <w:r>
              <w:rPr>
                <w:noProof/>
                <w:webHidden/>
              </w:rPr>
            </w:r>
            <w:r>
              <w:rPr>
                <w:noProof/>
                <w:webHidden/>
              </w:rPr>
              <w:fldChar w:fldCharType="separate"/>
            </w:r>
            <w:r>
              <w:rPr>
                <w:noProof/>
                <w:webHidden/>
              </w:rPr>
              <w:t>18</w:t>
            </w:r>
            <w:r>
              <w:rPr>
                <w:noProof/>
                <w:webHidden/>
              </w:rPr>
              <w:fldChar w:fldCharType="end"/>
            </w:r>
          </w:hyperlink>
        </w:p>
        <w:p w14:paraId="5A9D80C8" w14:textId="30F00D84" w:rsidR="00BD6DD6" w:rsidRDefault="00BD6DD6">
          <w:pPr>
            <w:pStyle w:val="TOC3"/>
            <w:tabs>
              <w:tab w:val="right" w:leader="dot" w:pos="9016"/>
            </w:tabs>
            <w:rPr>
              <w:rFonts w:eastAsiaTheme="minorEastAsia"/>
              <w:noProof/>
              <w:sz w:val="22"/>
              <w:lang w:eastAsia="en-GB"/>
            </w:rPr>
          </w:pPr>
          <w:hyperlink w:anchor="_Toc121830937" w:history="1">
            <w:r w:rsidRPr="00EE3B27">
              <w:rPr>
                <w:rStyle w:val="Hyperlink"/>
                <w:noProof/>
              </w:rPr>
              <w:t>3.2.1 PRESSURE</w:t>
            </w:r>
            <w:r>
              <w:rPr>
                <w:noProof/>
                <w:webHidden/>
              </w:rPr>
              <w:tab/>
            </w:r>
            <w:r>
              <w:rPr>
                <w:noProof/>
                <w:webHidden/>
              </w:rPr>
              <w:fldChar w:fldCharType="begin"/>
            </w:r>
            <w:r>
              <w:rPr>
                <w:noProof/>
                <w:webHidden/>
              </w:rPr>
              <w:instrText xml:space="preserve"> PAGEREF _Toc121830937 \h </w:instrText>
            </w:r>
            <w:r>
              <w:rPr>
                <w:noProof/>
                <w:webHidden/>
              </w:rPr>
            </w:r>
            <w:r>
              <w:rPr>
                <w:noProof/>
                <w:webHidden/>
              </w:rPr>
              <w:fldChar w:fldCharType="separate"/>
            </w:r>
            <w:r>
              <w:rPr>
                <w:noProof/>
                <w:webHidden/>
              </w:rPr>
              <w:t>18</w:t>
            </w:r>
            <w:r>
              <w:rPr>
                <w:noProof/>
                <w:webHidden/>
              </w:rPr>
              <w:fldChar w:fldCharType="end"/>
            </w:r>
          </w:hyperlink>
        </w:p>
        <w:p w14:paraId="67627243" w14:textId="18995347" w:rsidR="00BD6DD6" w:rsidRDefault="00BD6DD6">
          <w:pPr>
            <w:pStyle w:val="TOC3"/>
            <w:tabs>
              <w:tab w:val="right" w:leader="dot" w:pos="9016"/>
            </w:tabs>
            <w:rPr>
              <w:rFonts w:eastAsiaTheme="minorEastAsia"/>
              <w:noProof/>
              <w:sz w:val="22"/>
              <w:lang w:eastAsia="en-GB"/>
            </w:rPr>
          </w:pPr>
          <w:hyperlink w:anchor="_Toc121830938" w:history="1">
            <w:r w:rsidRPr="00EE3B27">
              <w:rPr>
                <w:rStyle w:val="Hyperlink"/>
                <w:noProof/>
              </w:rPr>
              <w:t>3.2.2 FLOW RATE</w:t>
            </w:r>
            <w:r>
              <w:rPr>
                <w:noProof/>
                <w:webHidden/>
              </w:rPr>
              <w:tab/>
            </w:r>
            <w:r>
              <w:rPr>
                <w:noProof/>
                <w:webHidden/>
              </w:rPr>
              <w:fldChar w:fldCharType="begin"/>
            </w:r>
            <w:r>
              <w:rPr>
                <w:noProof/>
                <w:webHidden/>
              </w:rPr>
              <w:instrText xml:space="preserve"> PAGEREF _Toc121830938 \h </w:instrText>
            </w:r>
            <w:r>
              <w:rPr>
                <w:noProof/>
                <w:webHidden/>
              </w:rPr>
            </w:r>
            <w:r>
              <w:rPr>
                <w:noProof/>
                <w:webHidden/>
              </w:rPr>
              <w:fldChar w:fldCharType="separate"/>
            </w:r>
            <w:r>
              <w:rPr>
                <w:noProof/>
                <w:webHidden/>
              </w:rPr>
              <w:t>20</w:t>
            </w:r>
            <w:r>
              <w:rPr>
                <w:noProof/>
                <w:webHidden/>
              </w:rPr>
              <w:fldChar w:fldCharType="end"/>
            </w:r>
          </w:hyperlink>
        </w:p>
        <w:p w14:paraId="46C66CF9" w14:textId="372192B5" w:rsidR="00BD6DD6" w:rsidRDefault="00BD6DD6">
          <w:pPr>
            <w:pStyle w:val="TOC3"/>
            <w:tabs>
              <w:tab w:val="right" w:leader="dot" w:pos="9016"/>
            </w:tabs>
            <w:rPr>
              <w:rFonts w:eastAsiaTheme="minorEastAsia"/>
              <w:noProof/>
              <w:sz w:val="22"/>
              <w:lang w:eastAsia="en-GB"/>
            </w:rPr>
          </w:pPr>
          <w:hyperlink w:anchor="_Toc121830939" w:history="1">
            <w:r w:rsidRPr="00EE3B27">
              <w:rPr>
                <w:rStyle w:val="Hyperlink"/>
                <w:noProof/>
              </w:rPr>
              <w:t>3.2.3 TEMPERATURE</w:t>
            </w:r>
            <w:r>
              <w:rPr>
                <w:noProof/>
                <w:webHidden/>
              </w:rPr>
              <w:tab/>
            </w:r>
            <w:r>
              <w:rPr>
                <w:noProof/>
                <w:webHidden/>
              </w:rPr>
              <w:fldChar w:fldCharType="begin"/>
            </w:r>
            <w:r>
              <w:rPr>
                <w:noProof/>
                <w:webHidden/>
              </w:rPr>
              <w:instrText xml:space="preserve"> PAGEREF _Toc121830939 \h </w:instrText>
            </w:r>
            <w:r>
              <w:rPr>
                <w:noProof/>
                <w:webHidden/>
              </w:rPr>
            </w:r>
            <w:r>
              <w:rPr>
                <w:noProof/>
                <w:webHidden/>
              </w:rPr>
              <w:fldChar w:fldCharType="separate"/>
            </w:r>
            <w:r>
              <w:rPr>
                <w:noProof/>
                <w:webHidden/>
              </w:rPr>
              <w:t>21</w:t>
            </w:r>
            <w:r>
              <w:rPr>
                <w:noProof/>
                <w:webHidden/>
              </w:rPr>
              <w:fldChar w:fldCharType="end"/>
            </w:r>
          </w:hyperlink>
        </w:p>
        <w:p w14:paraId="454F773B" w14:textId="70AB38FF" w:rsidR="00BD6DD6" w:rsidRDefault="00BD6DD6">
          <w:pPr>
            <w:pStyle w:val="TOC2"/>
            <w:tabs>
              <w:tab w:val="right" w:leader="dot" w:pos="9016"/>
            </w:tabs>
            <w:rPr>
              <w:rFonts w:eastAsiaTheme="minorEastAsia"/>
              <w:noProof/>
              <w:sz w:val="22"/>
              <w:lang w:eastAsia="en-GB"/>
            </w:rPr>
          </w:pPr>
          <w:hyperlink w:anchor="_Toc121830940" w:history="1">
            <w:r w:rsidRPr="00EE3B27">
              <w:rPr>
                <w:rStyle w:val="Hyperlink"/>
                <w:noProof/>
              </w:rPr>
              <w:t>3.3. PROJECTS ON GAS GRID AND HYDROGEN</w:t>
            </w:r>
            <w:r>
              <w:rPr>
                <w:noProof/>
                <w:webHidden/>
              </w:rPr>
              <w:tab/>
            </w:r>
            <w:r>
              <w:rPr>
                <w:noProof/>
                <w:webHidden/>
              </w:rPr>
              <w:fldChar w:fldCharType="begin"/>
            </w:r>
            <w:r>
              <w:rPr>
                <w:noProof/>
                <w:webHidden/>
              </w:rPr>
              <w:instrText xml:space="preserve"> PAGEREF _Toc121830940 \h </w:instrText>
            </w:r>
            <w:r>
              <w:rPr>
                <w:noProof/>
                <w:webHidden/>
              </w:rPr>
            </w:r>
            <w:r>
              <w:rPr>
                <w:noProof/>
                <w:webHidden/>
              </w:rPr>
              <w:fldChar w:fldCharType="separate"/>
            </w:r>
            <w:r>
              <w:rPr>
                <w:noProof/>
                <w:webHidden/>
              </w:rPr>
              <w:t>21</w:t>
            </w:r>
            <w:r>
              <w:rPr>
                <w:noProof/>
                <w:webHidden/>
              </w:rPr>
              <w:fldChar w:fldCharType="end"/>
            </w:r>
          </w:hyperlink>
        </w:p>
        <w:p w14:paraId="149DE60E" w14:textId="4B79AA40" w:rsidR="00BD6DD6" w:rsidRDefault="00BD6DD6">
          <w:pPr>
            <w:pStyle w:val="TOC3"/>
            <w:tabs>
              <w:tab w:val="right" w:leader="dot" w:pos="9016"/>
            </w:tabs>
            <w:rPr>
              <w:rFonts w:eastAsiaTheme="minorEastAsia"/>
              <w:noProof/>
              <w:sz w:val="22"/>
              <w:lang w:eastAsia="en-GB"/>
            </w:rPr>
          </w:pPr>
          <w:hyperlink w:anchor="_Toc121830941" w:history="1">
            <w:r w:rsidRPr="00EE3B27">
              <w:rPr>
                <w:rStyle w:val="Hyperlink"/>
                <w:noProof/>
              </w:rPr>
              <w:t>3.3.1 NEWGASMET PROJECT</w:t>
            </w:r>
            <w:r>
              <w:rPr>
                <w:noProof/>
                <w:webHidden/>
              </w:rPr>
              <w:tab/>
            </w:r>
            <w:r>
              <w:rPr>
                <w:noProof/>
                <w:webHidden/>
              </w:rPr>
              <w:fldChar w:fldCharType="begin"/>
            </w:r>
            <w:r>
              <w:rPr>
                <w:noProof/>
                <w:webHidden/>
              </w:rPr>
              <w:instrText xml:space="preserve"> PAGEREF _Toc121830941 \h </w:instrText>
            </w:r>
            <w:r>
              <w:rPr>
                <w:noProof/>
                <w:webHidden/>
              </w:rPr>
            </w:r>
            <w:r>
              <w:rPr>
                <w:noProof/>
                <w:webHidden/>
              </w:rPr>
              <w:fldChar w:fldCharType="separate"/>
            </w:r>
            <w:r>
              <w:rPr>
                <w:noProof/>
                <w:webHidden/>
              </w:rPr>
              <w:t>23</w:t>
            </w:r>
            <w:r>
              <w:rPr>
                <w:noProof/>
                <w:webHidden/>
              </w:rPr>
              <w:fldChar w:fldCharType="end"/>
            </w:r>
          </w:hyperlink>
        </w:p>
        <w:p w14:paraId="088F75D7" w14:textId="0253E783" w:rsidR="00BD6DD6" w:rsidRDefault="00BD6DD6">
          <w:pPr>
            <w:pStyle w:val="TOC2"/>
            <w:tabs>
              <w:tab w:val="right" w:leader="dot" w:pos="9016"/>
            </w:tabs>
            <w:rPr>
              <w:rFonts w:eastAsiaTheme="minorEastAsia"/>
              <w:noProof/>
              <w:sz w:val="22"/>
              <w:lang w:eastAsia="en-GB"/>
            </w:rPr>
          </w:pPr>
          <w:hyperlink w:anchor="_Toc121830942" w:history="1">
            <w:r w:rsidRPr="00EE3B27">
              <w:rPr>
                <w:rStyle w:val="Hyperlink"/>
                <w:noProof/>
              </w:rPr>
              <w:t>3.4 DECARB PROJECT OPERATING RANGES FOR TESTING</w:t>
            </w:r>
            <w:r>
              <w:rPr>
                <w:noProof/>
                <w:webHidden/>
              </w:rPr>
              <w:tab/>
            </w:r>
            <w:r>
              <w:rPr>
                <w:noProof/>
                <w:webHidden/>
              </w:rPr>
              <w:fldChar w:fldCharType="begin"/>
            </w:r>
            <w:r>
              <w:rPr>
                <w:noProof/>
                <w:webHidden/>
              </w:rPr>
              <w:instrText xml:space="preserve"> PAGEREF _Toc121830942 \h </w:instrText>
            </w:r>
            <w:r>
              <w:rPr>
                <w:noProof/>
                <w:webHidden/>
              </w:rPr>
            </w:r>
            <w:r>
              <w:rPr>
                <w:noProof/>
                <w:webHidden/>
              </w:rPr>
              <w:fldChar w:fldCharType="separate"/>
            </w:r>
            <w:r>
              <w:rPr>
                <w:noProof/>
                <w:webHidden/>
              </w:rPr>
              <w:t>25</w:t>
            </w:r>
            <w:r>
              <w:rPr>
                <w:noProof/>
                <w:webHidden/>
              </w:rPr>
              <w:fldChar w:fldCharType="end"/>
            </w:r>
          </w:hyperlink>
        </w:p>
        <w:p w14:paraId="02A868EA" w14:textId="718E1589" w:rsidR="00BD6DD6" w:rsidRDefault="00BD6DD6">
          <w:pPr>
            <w:pStyle w:val="TOC1"/>
            <w:tabs>
              <w:tab w:val="right" w:leader="dot" w:pos="9016"/>
            </w:tabs>
            <w:rPr>
              <w:rFonts w:eastAsiaTheme="minorEastAsia"/>
              <w:noProof/>
              <w:sz w:val="22"/>
              <w:lang w:eastAsia="en-GB"/>
            </w:rPr>
          </w:pPr>
          <w:hyperlink w:anchor="_Toc121830943" w:history="1">
            <w:r w:rsidRPr="00EE3B27">
              <w:rPr>
                <w:rStyle w:val="Hyperlink"/>
                <w:noProof/>
              </w:rPr>
              <w:t>4. EUROPEAN COUNTRIES DECARBONISATION PLANS</w:t>
            </w:r>
            <w:r>
              <w:rPr>
                <w:noProof/>
                <w:webHidden/>
              </w:rPr>
              <w:tab/>
            </w:r>
            <w:r>
              <w:rPr>
                <w:noProof/>
                <w:webHidden/>
              </w:rPr>
              <w:fldChar w:fldCharType="begin"/>
            </w:r>
            <w:r>
              <w:rPr>
                <w:noProof/>
                <w:webHidden/>
              </w:rPr>
              <w:instrText xml:space="preserve"> PAGEREF _Toc121830943 \h </w:instrText>
            </w:r>
            <w:r>
              <w:rPr>
                <w:noProof/>
                <w:webHidden/>
              </w:rPr>
            </w:r>
            <w:r>
              <w:rPr>
                <w:noProof/>
                <w:webHidden/>
              </w:rPr>
              <w:fldChar w:fldCharType="separate"/>
            </w:r>
            <w:r>
              <w:rPr>
                <w:noProof/>
                <w:webHidden/>
              </w:rPr>
              <w:t>26</w:t>
            </w:r>
            <w:r>
              <w:rPr>
                <w:noProof/>
                <w:webHidden/>
              </w:rPr>
              <w:fldChar w:fldCharType="end"/>
            </w:r>
          </w:hyperlink>
        </w:p>
        <w:p w14:paraId="11CD8824" w14:textId="112277EE" w:rsidR="00BD6DD6" w:rsidRDefault="00BD6DD6">
          <w:pPr>
            <w:pStyle w:val="TOC1"/>
            <w:tabs>
              <w:tab w:val="right" w:leader="dot" w:pos="9016"/>
            </w:tabs>
            <w:rPr>
              <w:rFonts w:eastAsiaTheme="minorEastAsia"/>
              <w:noProof/>
              <w:sz w:val="22"/>
              <w:lang w:eastAsia="en-GB"/>
            </w:rPr>
          </w:pPr>
          <w:hyperlink w:anchor="_Toc121830944" w:history="1">
            <w:r w:rsidRPr="00EE3B27">
              <w:rPr>
                <w:rStyle w:val="Hyperlink"/>
                <w:noProof/>
              </w:rPr>
              <w:t>5. METERING TECHNOLOGIES REVIEW</w:t>
            </w:r>
            <w:r>
              <w:rPr>
                <w:noProof/>
                <w:webHidden/>
              </w:rPr>
              <w:tab/>
            </w:r>
            <w:r>
              <w:rPr>
                <w:noProof/>
                <w:webHidden/>
              </w:rPr>
              <w:fldChar w:fldCharType="begin"/>
            </w:r>
            <w:r>
              <w:rPr>
                <w:noProof/>
                <w:webHidden/>
              </w:rPr>
              <w:instrText xml:space="preserve"> PAGEREF _Toc121830944 \h </w:instrText>
            </w:r>
            <w:r>
              <w:rPr>
                <w:noProof/>
                <w:webHidden/>
              </w:rPr>
            </w:r>
            <w:r>
              <w:rPr>
                <w:noProof/>
                <w:webHidden/>
              </w:rPr>
              <w:fldChar w:fldCharType="separate"/>
            </w:r>
            <w:r>
              <w:rPr>
                <w:noProof/>
                <w:webHidden/>
              </w:rPr>
              <w:t>28</w:t>
            </w:r>
            <w:r>
              <w:rPr>
                <w:noProof/>
                <w:webHidden/>
              </w:rPr>
              <w:fldChar w:fldCharType="end"/>
            </w:r>
          </w:hyperlink>
        </w:p>
        <w:p w14:paraId="14EC8A3A" w14:textId="3899E474" w:rsidR="00BD6DD6" w:rsidRDefault="00BD6DD6">
          <w:pPr>
            <w:pStyle w:val="TOC2"/>
            <w:tabs>
              <w:tab w:val="right" w:leader="dot" w:pos="9016"/>
            </w:tabs>
            <w:rPr>
              <w:rFonts w:eastAsiaTheme="minorEastAsia"/>
              <w:noProof/>
              <w:sz w:val="22"/>
              <w:lang w:eastAsia="en-GB"/>
            </w:rPr>
          </w:pPr>
          <w:hyperlink w:anchor="_Toc121830945" w:history="1">
            <w:r w:rsidRPr="00EE3B27">
              <w:rPr>
                <w:rStyle w:val="Hyperlink"/>
                <w:noProof/>
              </w:rPr>
              <w:t>5.1 PHYSICAL PROPERTY MODELS</w:t>
            </w:r>
            <w:r>
              <w:rPr>
                <w:noProof/>
                <w:webHidden/>
              </w:rPr>
              <w:tab/>
            </w:r>
            <w:r>
              <w:rPr>
                <w:noProof/>
                <w:webHidden/>
              </w:rPr>
              <w:fldChar w:fldCharType="begin"/>
            </w:r>
            <w:r>
              <w:rPr>
                <w:noProof/>
                <w:webHidden/>
              </w:rPr>
              <w:instrText xml:space="preserve"> PAGEREF _Toc121830945 \h </w:instrText>
            </w:r>
            <w:r>
              <w:rPr>
                <w:noProof/>
                <w:webHidden/>
              </w:rPr>
            </w:r>
            <w:r>
              <w:rPr>
                <w:noProof/>
                <w:webHidden/>
              </w:rPr>
              <w:fldChar w:fldCharType="separate"/>
            </w:r>
            <w:r>
              <w:rPr>
                <w:noProof/>
                <w:webHidden/>
              </w:rPr>
              <w:t>28</w:t>
            </w:r>
            <w:r>
              <w:rPr>
                <w:noProof/>
                <w:webHidden/>
              </w:rPr>
              <w:fldChar w:fldCharType="end"/>
            </w:r>
          </w:hyperlink>
        </w:p>
        <w:p w14:paraId="517F7F94" w14:textId="105825A9" w:rsidR="00BD6DD6" w:rsidRDefault="00BD6DD6">
          <w:pPr>
            <w:pStyle w:val="TOC3"/>
            <w:tabs>
              <w:tab w:val="right" w:leader="dot" w:pos="9016"/>
            </w:tabs>
            <w:rPr>
              <w:rFonts w:eastAsiaTheme="minorEastAsia"/>
              <w:noProof/>
              <w:sz w:val="22"/>
              <w:lang w:eastAsia="en-GB"/>
            </w:rPr>
          </w:pPr>
          <w:hyperlink w:anchor="_Toc121830946" w:history="1">
            <w:r w:rsidRPr="00EE3B27">
              <w:rPr>
                <w:rStyle w:val="Hyperlink"/>
                <w:noProof/>
              </w:rPr>
              <w:t xml:space="preserve">5.1.1 </w:t>
            </w:r>
            <w:r w:rsidRPr="00EE3B27">
              <w:rPr>
                <w:rStyle w:val="Hyperlink"/>
                <w:noProof/>
                <w:lang w:val="en-US"/>
              </w:rPr>
              <w:t>DENSITY/COMPRESSIBILITY FACTOR</w:t>
            </w:r>
            <w:r>
              <w:rPr>
                <w:noProof/>
                <w:webHidden/>
              </w:rPr>
              <w:tab/>
            </w:r>
            <w:r>
              <w:rPr>
                <w:noProof/>
                <w:webHidden/>
              </w:rPr>
              <w:fldChar w:fldCharType="begin"/>
            </w:r>
            <w:r>
              <w:rPr>
                <w:noProof/>
                <w:webHidden/>
              </w:rPr>
              <w:instrText xml:space="preserve"> PAGEREF _Toc121830946 \h </w:instrText>
            </w:r>
            <w:r>
              <w:rPr>
                <w:noProof/>
                <w:webHidden/>
              </w:rPr>
            </w:r>
            <w:r>
              <w:rPr>
                <w:noProof/>
                <w:webHidden/>
              </w:rPr>
              <w:fldChar w:fldCharType="separate"/>
            </w:r>
            <w:r>
              <w:rPr>
                <w:noProof/>
                <w:webHidden/>
              </w:rPr>
              <w:t>28</w:t>
            </w:r>
            <w:r>
              <w:rPr>
                <w:noProof/>
                <w:webHidden/>
              </w:rPr>
              <w:fldChar w:fldCharType="end"/>
            </w:r>
          </w:hyperlink>
        </w:p>
        <w:p w14:paraId="234E2690" w14:textId="4C1B7792" w:rsidR="00BD6DD6" w:rsidRDefault="00BD6DD6">
          <w:pPr>
            <w:pStyle w:val="TOC3"/>
            <w:tabs>
              <w:tab w:val="right" w:leader="dot" w:pos="9016"/>
            </w:tabs>
            <w:rPr>
              <w:rFonts w:eastAsiaTheme="minorEastAsia"/>
              <w:noProof/>
              <w:sz w:val="22"/>
              <w:lang w:eastAsia="en-GB"/>
            </w:rPr>
          </w:pPr>
          <w:hyperlink w:anchor="_Toc121830947" w:history="1">
            <w:r w:rsidRPr="00EE3B27">
              <w:rPr>
                <w:rStyle w:val="Hyperlink"/>
                <w:noProof/>
              </w:rPr>
              <w:t xml:space="preserve">5.1.2 </w:t>
            </w:r>
            <w:r w:rsidRPr="00EE3B27">
              <w:rPr>
                <w:rStyle w:val="Hyperlink"/>
                <w:noProof/>
                <w:lang w:val="en-US"/>
              </w:rPr>
              <w:t>SPEED OF SOUND</w:t>
            </w:r>
            <w:r>
              <w:rPr>
                <w:noProof/>
                <w:webHidden/>
              </w:rPr>
              <w:tab/>
            </w:r>
            <w:r>
              <w:rPr>
                <w:noProof/>
                <w:webHidden/>
              </w:rPr>
              <w:fldChar w:fldCharType="begin"/>
            </w:r>
            <w:r>
              <w:rPr>
                <w:noProof/>
                <w:webHidden/>
              </w:rPr>
              <w:instrText xml:space="preserve"> PAGEREF _Toc121830947 \h </w:instrText>
            </w:r>
            <w:r>
              <w:rPr>
                <w:noProof/>
                <w:webHidden/>
              </w:rPr>
            </w:r>
            <w:r>
              <w:rPr>
                <w:noProof/>
                <w:webHidden/>
              </w:rPr>
              <w:fldChar w:fldCharType="separate"/>
            </w:r>
            <w:r>
              <w:rPr>
                <w:noProof/>
                <w:webHidden/>
              </w:rPr>
              <w:t>30</w:t>
            </w:r>
            <w:r>
              <w:rPr>
                <w:noProof/>
                <w:webHidden/>
              </w:rPr>
              <w:fldChar w:fldCharType="end"/>
            </w:r>
          </w:hyperlink>
        </w:p>
        <w:p w14:paraId="082A14F8" w14:textId="5DCAF89D" w:rsidR="00BD6DD6" w:rsidRDefault="00BD6DD6">
          <w:pPr>
            <w:pStyle w:val="TOC3"/>
            <w:tabs>
              <w:tab w:val="right" w:leader="dot" w:pos="9016"/>
            </w:tabs>
            <w:rPr>
              <w:rFonts w:eastAsiaTheme="minorEastAsia"/>
              <w:noProof/>
              <w:sz w:val="22"/>
              <w:lang w:eastAsia="en-GB"/>
            </w:rPr>
          </w:pPr>
          <w:hyperlink w:anchor="_Toc121830948" w:history="1">
            <w:r w:rsidRPr="00EE3B27">
              <w:rPr>
                <w:rStyle w:val="Hyperlink"/>
                <w:noProof/>
              </w:rPr>
              <w:t xml:space="preserve">5.1.3 </w:t>
            </w:r>
            <w:r w:rsidRPr="00EE3B27">
              <w:rPr>
                <w:rStyle w:val="Hyperlink"/>
                <w:noProof/>
                <w:lang w:val="en-US"/>
              </w:rPr>
              <w:t>VISCOSITY</w:t>
            </w:r>
            <w:r>
              <w:rPr>
                <w:noProof/>
                <w:webHidden/>
              </w:rPr>
              <w:tab/>
            </w:r>
            <w:r>
              <w:rPr>
                <w:noProof/>
                <w:webHidden/>
              </w:rPr>
              <w:fldChar w:fldCharType="begin"/>
            </w:r>
            <w:r>
              <w:rPr>
                <w:noProof/>
                <w:webHidden/>
              </w:rPr>
              <w:instrText xml:space="preserve"> PAGEREF _Toc121830948 \h </w:instrText>
            </w:r>
            <w:r>
              <w:rPr>
                <w:noProof/>
                <w:webHidden/>
              </w:rPr>
            </w:r>
            <w:r>
              <w:rPr>
                <w:noProof/>
                <w:webHidden/>
              </w:rPr>
              <w:fldChar w:fldCharType="separate"/>
            </w:r>
            <w:r>
              <w:rPr>
                <w:noProof/>
                <w:webHidden/>
              </w:rPr>
              <w:t>32</w:t>
            </w:r>
            <w:r>
              <w:rPr>
                <w:noProof/>
                <w:webHidden/>
              </w:rPr>
              <w:fldChar w:fldCharType="end"/>
            </w:r>
          </w:hyperlink>
        </w:p>
        <w:p w14:paraId="5173197A" w14:textId="0EAE21D0" w:rsidR="00BD6DD6" w:rsidRDefault="00BD6DD6">
          <w:pPr>
            <w:pStyle w:val="TOC2"/>
            <w:tabs>
              <w:tab w:val="right" w:leader="dot" w:pos="9016"/>
            </w:tabs>
            <w:rPr>
              <w:rFonts w:eastAsiaTheme="minorEastAsia"/>
              <w:noProof/>
              <w:sz w:val="22"/>
              <w:lang w:eastAsia="en-GB"/>
            </w:rPr>
          </w:pPr>
          <w:hyperlink w:anchor="_Toc121830949" w:history="1">
            <w:r w:rsidRPr="00EE3B27">
              <w:rPr>
                <w:rStyle w:val="Hyperlink"/>
                <w:noProof/>
              </w:rPr>
              <w:t>5.2 FLOW METERING TECHNOLOGIES</w:t>
            </w:r>
            <w:r>
              <w:rPr>
                <w:noProof/>
                <w:webHidden/>
              </w:rPr>
              <w:tab/>
            </w:r>
            <w:r>
              <w:rPr>
                <w:noProof/>
                <w:webHidden/>
              </w:rPr>
              <w:fldChar w:fldCharType="begin"/>
            </w:r>
            <w:r>
              <w:rPr>
                <w:noProof/>
                <w:webHidden/>
              </w:rPr>
              <w:instrText xml:space="preserve"> PAGEREF _Toc121830949 \h </w:instrText>
            </w:r>
            <w:r>
              <w:rPr>
                <w:noProof/>
                <w:webHidden/>
              </w:rPr>
            </w:r>
            <w:r>
              <w:rPr>
                <w:noProof/>
                <w:webHidden/>
              </w:rPr>
              <w:fldChar w:fldCharType="separate"/>
            </w:r>
            <w:r>
              <w:rPr>
                <w:noProof/>
                <w:webHidden/>
              </w:rPr>
              <w:t>33</w:t>
            </w:r>
            <w:r>
              <w:rPr>
                <w:noProof/>
                <w:webHidden/>
              </w:rPr>
              <w:fldChar w:fldCharType="end"/>
            </w:r>
          </w:hyperlink>
        </w:p>
        <w:p w14:paraId="47A53DAE" w14:textId="4C165656" w:rsidR="00BD6DD6" w:rsidRDefault="00BD6DD6">
          <w:pPr>
            <w:pStyle w:val="TOC3"/>
            <w:tabs>
              <w:tab w:val="right" w:leader="dot" w:pos="9016"/>
            </w:tabs>
            <w:rPr>
              <w:rFonts w:eastAsiaTheme="minorEastAsia"/>
              <w:noProof/>
              <w:sz w:val="22"/>
              <w:lang w:eastAsia="en-GB"/>
            </w:rPr>
          </w:pPr>
          <w:hyperlink w:anchor="_Toc121830950" w:history="1">
            <w:r w:rsidRPr="00EE3B27">
              <w:rPr>
                <w:rStyle w:val="Hyperlink"/>
                <w:noProof/>
              </w:rPr>
              <w:t>5.2.1 DISTRIBUTION AND TRANSMISSION FLOW METERS</w:t>
            </w:r>
            <w:r>
              <w:rPr>
                <w:noProof/>
                <w:webHidden/>
              </w:rPr>
              <w:tab/>
            </w:r>
            <w:r>
              <w:rPr>
                <w:noProof/>
                <w:webHidden/>
              </w:rPr>
              <w:fldChar w:fldCharType="begin"/>
            </w:r>
            <w:r>
              <w:rPr>
                <w:noProof/>
                <w:webHidden/>
              </w:rPr>
              <w:instrText xml:space="preserve"> PAGEREF _Toc121830950 \h </w:instrText>
            </w:r>
            <w:r>
              <w:rPr>
                <w:noProof/>
                <w:webHidden/>
              </w:rPr>
            </w:r>
            <w:r>
              <w:rPr>
                <w:noProof/>
                <w:webHidden/>
              </w:rPr>
              <w:fldChar w:fldCharType="separate"/>
            </w:r>
            <w:r>
              <w:rPr>
                <w:noProof/>
                <w:webHidden/>
              </w:rPr>
              <w:t>33</w:t>
            </w:r>
            <w:r>
              <w:rPr>
                <w:noProof/>
                <w:webHidden/>
              </w:rPr>
              <w:fldChar w:fldCharType="end"/>
            </w:r>
          </w:hyperlink>
        </w:p>
        <w:p w14:paraId="293C0651" w14:textId="0C13E777" w:rsidR="00BD6DD6" w:rsidRDefault="00BD6DD6">
          <w:pPr>
            <w:pStyle w:val="TOC3"/>
            <w:tabs>
              <w:tab w:val="right" w:leader="dot" w:pos="9016"/>
            </w:tabs>
            <w:rPr>
              <w:rFonts w:eastAsiaTheme="minorEastAsia"/>
              <w:noProof/>
              <w:sz w:val="22"/>
              <w:lang w:eastAsia="en-GB"/>
            </w:rPr>
          </w:pPr>
          <w:hyperlink w:anchor="_Toc121830951" w:history="1">
            <w:r w:rsidRPr="00EE3B27">
              <w:rPr>
                <w:rStyle w:val="Hyperlink"/>
                <w:noProof/>
              </w:rPr>
              <w:t>5.2.2 DOMESTIC FLOW METERS</w:t>
            </w:r>
            <w:r>
              <w:rPr>
                <w:noProof/>
                <w:webHidden/>
              </w:rPr>
              <w:tab/>
            </w:r>
            <w:r>
              <w:rPr>
                <w:noProof/>
                <w:webHidden/>
              </w:rPr>
              <w:fldChar w:fldCharType="begin"/>
            </w:r>
            <w:r>
              <w:rPr>
                <w:noProof/>
                <w:webHidden/>
              </w:rPr>
              <w:instrText xml:space="preserve"> PAGEREF _Toc121830951 \h </w:instrText>
            </w:r>
            <w:r>
              <w:rPr>
                <w:noProof/>
                <w:webHidden/>
              </w:rPr>
            </w:r>
            <w:r>
              <w:rPr>
                <w:noProof/>
                <w:webHidden/>
              </w:rPr>
              <w:fldChar w:fldCharType="separate"/>
            </w:r>
            <w:r>
              <w:rPr>
                <w:noProof/>
                <w:webHidden/>
              </w:rPr>
              <w:t>36</w:t>
            </w:r>
            <w:r>
              <w:rPr>
                <w:noProof/>
                <w:webHidden/>
              </w:rPr>
              <w:fldChar w:fldCharType="end"/>
            </w:r>
          </w:hyperlink>
        </w:p>
        <w:p w14:paraId="7ECB1D8D" w14:textId="6FE7F842" w:rsidR="00BD6DD6" w:rsidRDefault="00BD6DD6">
          <w:pPr>
            <w:pStyle w:val="TOC1"/>
            <w:tabs>
              <w:tab w:val="right" w:leader="dot" w:pos="9016"/>
            </w:tabs>
            <w:rPr>
              <w:rFonts w:eastAsiaTheme="minorEastAsia"/>
              <w:noProof/>
              <w:sz w:val="22"/>
              <w:lang w:eastAsia="en-GB"/>
            </w:rPr>
          </w:pPr>
          <w:hyperlink w:anchor="_Toc121830952" w:history="1">
            <w:r w:rsidRPr="00EE3B27">
              <w:rPr>
                <w:rStyle w:val="Hyperlink"/>
                <w:noProof/>
              </w:rPr>
              <w:t>6. CONCLUSIONS</w:t>
            </w:r>
            <w:r>
              <w:rPr>
                <w:noProof/>
                <w:webHidden/>
              </w:rPr>
              <w:tab/>
            </w:r>
            <w:r>
              <w:rPr>
                <w:noProof/>
                <w:webHidden/>
              </w:rPr>
              <w:fldChar w:fldCharType="begin"/>
            </w:r>
            <w:r>
              <w:rPr>
                <w:noProof/>
                <w:webHidden/>
              </w:rPr>
              <w:instrText xml:space="preserve"> PAGEREF _Toc121830952 \h </w:instrText>
            </w:r>
            <w:r>
              <w:rPr>
                <w:noProof/>
                <w:webHidden/>
              </w:rPr>
            </w:r>
            <w:r>
              <w:rPr>
                <w:noProof/>
                <w:webHidden/>
              </w:rPr>
              <w:fldChar w:fldCharType="separate"/>
            </w:r>
            <w:r>
              <w:rPr>
                <w:noProof/>
                <w:webHidden/>
              </w:rPr>
              <w:t>39</w:t>
            </w:r>
            <w:r>
              <w:rPr>
                <w:noProof/>
                <w:webHidden/>
              </w:rPr>
              <w:fldChar w:fldCharType="end"/>
            </w:r>
          </w:hyperlink>
        </w:p>
        <w:p w14:paraId="5139990A" w14:textId="7CD6B57C" w:rsidR="00BD6DD6" w:rsidRDefault="00BD6DD6">
          <w:pPr>
            <w:pStyle w:val="TOC1"/>
            <w:tabs>
              <w:tab w:val="right" w:leader="dot" w:pos="9016"/>
            </w:tabs>
            <w:rPr>
              <w:rFonts w:eastAsiaTheme="minorEastAsia"/>
              <w:noProof/>
              <w:sz w:val="22"/>
              <w:lang w:eastAsia="en-GB"/>
            </w:rPr>
          </w:pPr>
          <w:hyperlink w:anchor="_Toc121830953" w:history="1">
            <w:r w:rsidRPr="00EE3B27">
              <w:rPr>
                <w:rStyle w:val="Hyperlink"/>
                <w:noProof/>
              </w:rPr>
              <w:t>REFERENCES</w:t>
            </w:r>
            <w:r>
              <w:rPr>
                <w:noProof/>
                <w:webHidden/>
              </w:rPr>
              <w:tab/>
            </w:r>
            <w:r>
              <w:rPr>
                <w:noProof/>
                <w:webHidden/>
              </w:rPr>
              <w:fldChar w:fldCharType="begin"/>
            </w:r>
            <w:r>
              <w:rPr>
                <w:noProof/>
                <w:webHidden/>
              </w:rPr>
              <w:instrText xml:space="preserve"> PAGEREF _Toc121830953 \h </w:instrText>
            </w:r>
            <w:r>
              <w:rPr>
                <w:noProof/>
                <w:webHidden/>
              </w:rPr>
            </w:r>
            <w:r>
              <w:rPr>
                <w:noProof/>
                <w:webHidden/>
              </w:rPr>
              <w:fldChar w:fldCharType="separate"/>
            </w:r>
            <w:r>
              <w:rPr>
                <w:noProof/>
                <w:webHidden/>
              </w:rPr>
              <w:t>41</w:t>
            </w:r>
            <w:r>
              <w:rPr>
                <w:noProof/>
                <w:webHidden/>
              </w:rPr>
              <w:fldChar w:fldCharType="end"/>
            </w:r>
          </w:hyperlink>
        </w:p>
        <w:p w14:paraId="29B1075A" w14:textId="194B0EB2" w:rsidR="00BD6DD6" w:rsidRDefault="00BD6DD6">
          <w:pPr>
            <w:pStyle w:val="TOC1"/>
            <w:tabs>
              <w:tab w:val="right" w:leader="dot" w:pos="9016"/>
            </w:tabs>
            <w:rPr>
              <w:rFonts w:eastAsiaTheme="minorEastAsia"/>
              <w:noProof/>
              <w:sz w:val="22"/>
              <w:lang w:eastAsia="en-GB"/>
            </w:rPr>
          </w:pPr>
          <w:hyperlink w:anchor="_Toc121830954" w:history="1">
            <w:r w:rsidRPr="00EE3B27">
              <w:rPr>
                <w:rStyle w:val="Hyperlink"/>
                <w:noProof/>
              </w:rPr>
              <w:t>ANNEX 1 Marcogaz infographic about hydrogen admission into the existing natural gas infrastructure and end use</w:t>
            </w:r>
            <w:r>
              <w:rPr>
                <w:noProof/>
                <w:webHidden/>
              </w:rPr>
              <w:tab/>
            </w:r>
            <w:r>
              <w:rPr>
                <w:noProof/>
                <w:webHidden/>
              </w:rPr>
              <w:fldChar w:fldCharType="begin"/>
            </w:r>
            <w:r>
              <w:rPr>
                <w:noProof/>
                <w:webHidden/>
              </w:rPr>
              <w:instrText xml:space="preserve"> PAGEREF _Toc121830954 \h </w:instrText>
            </w:r>
            <w:r>
              <w:rPr>
                <w:noProof/>
                <w:webHidden/>
              </w:rPr>
            </w:r>
            <w:r>
              <w:rPr>
                <w:noProof/>
                <w:webHidden/>
              </w:rPr>
              <w:fldChar w:fldCharType="separate"/>
            </w:r>
            <w:r>
              <w:rPr>
                <w:noProof/>
                <w:webHidden/>
              </w:rPr>
              <w:t>43</w:t>
            </w:r>
            <w:r>
              <w:rPr>
                <w:noProof/>
                <w:webHidden/>
              </w:rPr>
              <w:fldChar w:fldCharType="end"/>
            </w:r>
          </w:hyperlink>
        </w:p>
        <w:p w14:paraId="2030934C" w14:textId="0773BEB2" w:rsidR="00AC3C6B" w:rsidRDefault="00AC3C6B" w:rsidP="00F668C6">
          <w:pPr>
            <w:jc w:val="both"/>
          </w:pPr>
          <w:r>
            <w:rPr>
              <w:b/>
              <w:bCs/>
              <w:noProof/>
            </w:rPr>
            <w:fldChar w:fldCharType="end"/>
          </w:r>
        </w:p>
      </w:sdtContent>
    </w:sdt>
    <w:p w14:paraId="028F873B" w14:textId="77777777" w:rsidR="00CD0078" w:rsidRDefault="00AC3C6B" w:rsidP="00F668C6">
      <w:pPr>
        <w:jc w:val="both"/>
      </w:pPr>
      <w:r>
        <w:br w:type="page"/>
      </w:r>
    </w:p>
    <w:p w14:paraId="1DB80D5D" w14:textId="77777777" w:rsidR="0059688E" w:rsidRDefault="0059688E" w:rsidP="00F668C6">
      <w:pPr>
        <w:pStyle w:val="Heading1"/>
        <w:tabs>
          <w:tab w:val="left" w:pos="720"/>
        </w:tabs>
        <w:jc w:val="both"/>
      </w:pPr>
      <w:bookmarkStart w:id="0" w:name="_Ref57673166"/>
      <w:bookmarkStart w:id="1" w:name="_Ref57673289"/>
      <w:bookmarkStart w:id="2" w:name="_Toc97544844"/>
      <w:bookmarkStart w:id="3" w:name="_Toc121830925"/>
      <w:r>
        <w:lastRenderedPageBreak/>
        <w:t>EXECUTIVE SUMMARY</w:t>
      </w:r>
      <w:bookmarkEnd w:id="0"/>
      <w:bookmarkEnd w:id="1"/>
      <w:bookmarkEnd w:id="2"/>
      <w:bookmarkEnd w:id="3"/>
    </w:p>
    <w:p w14:paraId="568D40CF" w14:textId="77777777" w:rsidR="00AC3C6B" w:rsidRDefault="00AC3C6B" w:rsidP="00F668C6">
      <w:pPr>
        <w:jc w:val="both"/>
      </w:pPr>
    </w:p>
    <w:p w14:paraId="3A71C8AE" w14:textId="77777777" w:rsidR="00E46F2B" w:rsidRPr="0042603A" w:rsidRDefault="00E46F2B" w:rsidP="00E46F2B">
      <w:pPr>
        <w:jc w:val="both"/>
        <w:rPr>
          <w:szCs w:val="20"/>
        </w:rPr>
      </w:pPr>
      <w:r w:rsidRPr="0042603A">
        <w:rPr>
          <w:szCs w:val="20"/>
        </w:rPr>
        <w:t xml:space="preserve">In Europe, a mature developed and regulated network of gas infrastructure is already in place, capable of transporting and storing large quantities of energy through more than 200,000 km of transmission pipelines, over 2 million km of distribution network and over 20,000 compressor and pressure reduction stations. The value of the total infrastructure investments is approximately 65 billion Euros in the transmission system, and </w:t>
      </w:r>
      <w:r>
        <w:rPr>
          <w:szCs w:val="20"/>
        </w:rPr>
        <w:t>the</w:t>
      </w:r>
      <w:r w:rsidRPr="0042603A">
        <w:rPr>
          <w:szCs w:val="20"/>
        </w:rPr>
        <w:t xml:space="preserve"> investment at the distribution level</w:t>
      </w:r>
      <w:r>
        <w:rPr>
          <w:szCs w:val="20"/>
        </w:rPr>
        <w:t xml:space="preserve"> is three times that</w:t>
      </w:r>
      <w:r w:rsidRPr="0042603A">
        <w:rPr>
          <w:szCs w:val="20"/>
        </w:rPr>
        <w:t>.</w:t>
      </w:r>
    </w:p>
    <w:p w14:paraId="3A2C8265" w14:textId="77777777" w:rsidR="00E46F2B" w:rsidRPr="0042603A" w:rsidRDefault="00E46F2B" w:rsidP="00E46F2B">
      <w:pPr>
        <w:jc w:val="both"/>
        <w:rPr>
          <w:szCs w:val="20"/>
        </w:rPr>
      </w:pPr>
      <w:r w:rsidRPr="0042603A">
        <w:rPr>
          <w:szCs w:val="20"/>
        </w:rPr>
        <w:t>Gas represents 21.5 % of the EU’s primary energy consumption. The residential sector accounts for most</w:t>
      </w:r>
      <w:r>
        <w:rPr>
          <w:szCs w:val="20"/>
        </w:rPr>
        <w:t xml:space="preserve"> of the</w:t>
      </w:r>
      <w:r w:rsidRPr="0042603A">
        <w:rPr>
          <w:szCs w:val="20"/>
        </w:rPr>
        <w:t xml:space="preserve"> EU gas demand (40 %), followed by industry and power generation. The EU imports 80 % of its total gas needs.</w:t>
      </w:r>
    </w:p>
    <w:p w14:paraId="58932598" w14:textId="77777777" w:rsidR="00E46F2B" w:rsidRPr="0042603A" w:rsidRDefault="00E46F2B" w:rsidP="00E46F2B">
      <w:pPr>
        <w:jc w:val="both"/>
        <w:rPr>
          <w:szCs w:val="20"/>
        </w:rPr>
      </w:pPr>
      <w:r w:rsidRPr="0042603A">
        <w:rPr>
          <w:szCs w:val="20"/>
        </w:rPr>
        <w:t>The European Green Deal aims to fully decarbonize the gas sector by 2050, accounting for a quarter of the EU’s greenhouse gas emissions in 2020. To meet the decarbonisation targets, the EU aims to shift into low carbon gases whilst reducing its total gas consumption. Biogas/biomethane and hydrogen will play the leading role.</w:t>
      </w:r>
    </w:p>
    <w:p w14:paraId="20162E4F" w14:textId="77777777" w:rsidR="00E46F2B" w:rsidRPr="0042603A" w:rsidRDefault="00E46F2B" w:rsidP="00E46F2B">
      <w:pPr>
        <w:jc w:val="both"/>
        <w:rPr>
          <w:szCs w:val="20"/>
        </w:rPr>
      </w:pPr>
      <w:r w:rsidRPr="0042603A">
        <w:rPr>
          <w:szCs w:val="20"/>
        </w:rPr>
        <w:t xml:space="preserve">Hydrogen has become the central element in the plans to decarbonise the sector. </w:t>
      </w:r>
      <w:r>
        <w:t xml:space="preserve">National Energy and Climate Plans (NECPs) </w:t>
      </w:r>
      <w:r w:rsidRPr="0042603A">
        <w:rPr>
          <w:szCs w:val="20"/>
        </w:rPr>
        <w:t xml:space="preserve">show that EU Member States are increasingly considering hydrogen deployment </w:t>
      </w:r>
      <w:r>
        <w:rPr>
          <w:szCs w:val="20"/>
        </w:rPr>
        <w:t>in</w:t>
      </w:r>
      <w:r w:rsidRPr="0042603A">
        <w:rPr>
          <w:szCs w:val="20"/>
        </w:rPr>
        <w:t xml:space="preserve"> </w:t>
      </w:r>
      <w:r>
        <w:rPr>
          <w:szCs w:val="20"/>
        </w:rPr>
        <w:t>the gas network</w:t>
      </w:r>
      <w:r w:rsidRPr="0042603A">
        <w:rPr>
          <w:szCs w:val="20"/>
        </w:rPr>
        <w:t xml:space="preserve">. The deployment of hydrogen </w:t>
      </w:r>
      <w:r>
        <w:rPr>
          <w:szCs w:val="20"/>
        </w:rPr>
        <w:t>in the gas network enables optimal</w:t>
      </w:r>
      <w:r w:rsidRPr="0042603A">
        <w:rPr>
          <w:szCs w:val="20"/>
        </w:rPr>
        <w:t xml:space="preserve"> use of renewable energy resources. </w:t>
      </w:r>
      <w:r>
        <w:rPr>
          <w:szCs w:val="20"/>
        </w:rPr>
        <w:t xml:space="preserve">The </w:t>
      </w:r>
      <w:r w:rsidRPr="0042603A">
        <w:rPr>
          <w:szCs w:val="20"/>
        </w:rPr>
        <w:t>use of existing natural gas infrastructure</w:t>
      </w:r>
      <w:r>
        <w:rPr>
          <w:szCs w:val="20"/>
        </w:rPr>
        <w:t xml:space="preserve"> </w:t>
      </w:r>
      <w:r w:rsidRPr="0042603A">
        <w:rPr>
          <w:szCs w:val="20"/>
        </w:rPr>
        <w:t>avoid</w:t>
      </w:r>
      <w:r>
        <w:rPr>
          <w:szCs w:val="20"/>
        </w:rPr>
        <w:t>s</w:t>
      </w:r>
      <w:r w:rsidRPr="0042603A">
        <w:rPr>
          <w:szCs w:val="20"/>
        </w:rPr>
        <w:t xml:space="preserve"> stranded assets and reduc</w:t>
      </w:r>
      <w:r>
        <w:rPr>
          <w:szCs w:val="20"/>
        </w:rPr>
        <w:t>e</w:t>
      </w:r>
      <w:r w:rsidRPr="0042603A">
        <w:rPr>
          <w:szCs w:val="20"/>
        </w:rPr>
        <w:t xml:space="preserve"> the investment </w:t>
      </w:r>
      <w:r>
        <w:rPr>
          <w:szCs w:val="20"/>
        </w:rPr>
        <w:t>otherwise required</w:t>
      </w:r>
      <w:r w:rsidRPr="0042603A">
        <w:rPr>
          <w:szCs w:val="20"/>
        </w:rPr>
        <w:t xml:space="preserve"> for </w:t>
      </w:r>
      <w:r>
        <w:rPr>
          <w:szCs w:val="20"/>
        </w:rPr>
        <w:t xml:space="preserve">renewable </w:t>
      </w:r>
      <w:r w:rsidRPr="0042603A">
        <w:rPr>
          <w:szCs w:val="20"/>
        </w:rPr>
        <w:t xml:space="preserve">electricity transport and storage infrastructure. </w:t>
      </w:r>
      <w:r>
        <w:rPr>
          <w:szCs w:val="20"/>
        </w:rPr>
        <w:t xml:space="preserve">The </w:t>
      </w:r>
      <w:r w:rsidRPr="0042603A">
        <w:rPr>
          <w:szCs w:val="20"/>
        </w:rPr>
        <w:t xml:space="preserve">European Commission has committed to install 40 GW of electrolysers by 2030 and </w:t>
      </w:r>
      <w:r>
        <w:rPr>
          <w:szCs w:val="20"/>
        </w:rPr>
        <w:t xml:space="preserve">to have </w:t>
      </w:r>
      <w:r w:rsidRPr="0042603A">
        <w:rPr>
          <w:szCs w:val="20"/>
        </w:rPr>
        <w:t>low carbon gases accounting for more than 15 % of gas consumption by then.</w:t>
      </w:r>
    </w:p>
    <w:p w14:paraId="08D778E8" w14:textId="77777777" w:rsidR="004309D5" w:rsidRPr="004309D5" w:rsidRDefault="004309D5" w:rsidP="004309D5">
      <w:pPr>
        <w:jc w:val="both"/>
        <w:rPr>
          <w:szCs w:val="20"/>
        </w:rPr>
      </w:pPr>
      <w:r w:rsidRPr="004309D5">
        <w:rPr>
          <w:szCs w:val="20"/>
        </w:rPr>
        <w:t>This report summarises the results of activities A1.1.1 and A1.1.2 of Task 1.1 ‘Understanding operating conditions for decarbonised gas grids’ of Work Package (WP) 1 ‘Flow Metering’ of the EMPIR Metrology for Decarbonising the Gas Grid project (Decarb project).</w:t>
      </w:r>
    </w:p>
    <w:p w14:paraId="4D461813" w14:textId="7DD6986D" w:rsidR="004309D5" w:rsidRPr="004309D5" w:rsidRDefault="004309D5" w:rsidP="004309D5">
      <w:pPr>
        <w:jc w:val="both"/>
        <w:rPr>
          <w:szCs w:val="20"/>
        </w:rPr>
      </w:pPr>
      <w:r w:rsidRPr="004309D5">
        <w:rPr>
          <w:szCs w:val="20"/>
        </w:rPr>
        <w:t xml:space="preserve">The </w:t>
      </w:r>
      <w:r>
        <w:rPr>
          <w:szCs w:val="20"/>
        </w:rPr>
        <w:t>Task</w:t>
      </w:r>
      <w:r w:rsidRPr="004309D5">
        <w:rPr>
          <w:szCs w:val="20"/>
        </w:rPr>
        <w:t xml:space="preserve"> aims were to collect knowledge:</w:t>
      </w:r>
    </w:p>
    <w:p w14:paraId="151668CC" w14:textId="77777777" w:rsidR="004309D5" w:rsidRPr="004309D5" w:rsidRDefault="004309D5" w:rsidP="004309D5">
      <w:pPr>
        <w:jc w:val="both"/>
        <w:rPr>
          <w:szCs w:val="20"/>
        </w:rPr>
      </w:pPr>
      <w:r w:rsidRPr="004309D5">
        <w:rPr>
          <w:szCs w:val="20"/>
        </w:rPr>
        <w:t>-</w:t>
      </w:r>
      <w:r w:rsidRPr="004309D5">
        <w:rPr>
          <w:szCs w:val="20"/>
        </w:rPr>
        <w:tab/>
        <w:t>on the operating ranges of the gas grids across European countries</w:t>
      </w:r>
    </w:p>
    <w:p w14:paraId="17BF100F" w14:textId="77777777" w:rsidR="004309D5" w:rsidRPr="004309D5" w:rsidRDefault="004309D5" w:rsidP="004309D5">
      <w:pPr>
        <w:jc w:val="both"/>
        <w:rPr>
          <w:szCs w:val="20"/>
        </w:rPr>
      </w:pPr>
      <w:r w:rsidRPr="004309D5">
        <w:rPr>
          <w:szCs w:val="20"/>
        </w:rPr>
        <w:t>-</w:t>
      </w:r>
      <w:r w:rsidRPr="004309D5">
        <w:rPr>
          <w:szCs w:val="20"/>
        </w:rPr>
        <w:tab/>
        <w:t xml:space="preserve">on the plans for gas grid decarbonisation across European countries </w:t>
      </w:r>
    </w:p>
    <w:p w14:paraId="17D7E0E6" w14:textId="77777777" w:rsidR="004309D5" w:rsidRPr="004309D5" w:rsidRDefault="004309D5" w:rsidP="004309D5">
      <w:pPr>
        <w:jc w:val="both"/>
        <w:rPr>
          <w:szCs w:val="20"/>
        </w:rPr>
      </w:pPr>
      <w:r w:rsidRPr="004309D5">
        <w:rPr>
          <w:szCs w:val="20"/>
        </w:rPr>
        <w:t>-</w:t>
      </w:r>
      <w:r w:rsidRPr="004309D5">
        <w:rPr>
          <w:szCs w:val="20"/>
        </w:rPr>
        <w:tab/>
        <w:t xml:space="preserve">on Hydrogen and Hydrogen/natural gas blends flow metering technologies development </w:t>
      </w:r>
    </w:p>
    <w:p w14:paraId="0D8357BB" w14:textId="36FE0639" w:rsidR="004309D5" w:rsidRDefault="004309D5" w:rsidP="004309D5">
      <w:pPr>
        <w:jc w:val="both"/>
        <w:rPr>
          <w:szCs w:val="20"/>
        </w:rPr>
      </w:pPr>
      <w:r w:rsidRPr="004309D5">
        <w:rPr>
          <w:szCs w:val="20"/>
        </w:rPr>
        <w:t>This will allow the WP1 partners to ensure that appropriate operating ranges and flow metering technologies have been selected for the subsequent flow meters testing phase of the projects.</w:t>
      </w:r>
    </w:p>
    <w:p w14:paraId="21E996BA" w14:textId="78AA8E08" w:rsidR="00307B3E" w:rsidRDefault="00307B3E" w:rsidP="00307B3E">
      <w:pPr>
        <w:jc w:val="both"/>
        <w:rPr>
          <w:szCs w:val="20"/>
        </w:rPr>
      </w:pPr>
      <w:r>
        <w:rPr>
          <w:szCs w:val="20"/>
        </w:rPr>
        <w:t xml:space="preserve">In </w:t>
      </w:r>
      <w:r w:rsidRPr="0042603A">
        <w:rPr>
          <w:szCs w:val="20"/>
        </w:rPr>
        <w:t>this report the</w:t>
      </w:r>
      <w:r>
        <w:rPr>
          <w:szCs w:val="20"/>
        </w:rPr>
        <w:t xml:space="preserve"> </w:t>
      </w:r>
      <w:r w:rsidRPr="0042603A">
        <w:rPr>
          <w:szCs w:val="20"/>
        </w:rPr>
        <w:t>operating ranges of European gas grids</w:t>
      </w:r>
      <w:r>
        <w:rPr>
          <w:szCs w:val="20"/>
        </w:rPr>
        <w:t xml:space="preserve"> were presented together with a summary of </w:t>
      </w:r>
      <w:r>
        <w:rPr>
          <w:rFonts w:cstheme="minorHAnsi"/>
        </w:rPr>
        <w:t xml:space="preserve">the </w:t>
      </w:r>
      <w:r w:rsidRPr="00EF01F1">
        <w:rPr>
          <w:rFonts w:cstheme="minorHAnsi"/>
        </w:rPr>
        <w:t xml:space="preserve">plans for </w:t>
      </w:r>
      <w:r>
        <w:rPr>
          <w:rFonts w:cstheme="minorHAnsi"/>
        </w:rPr>
        <w:t xml:space="preserve">gas grid </w:t>
      </w:r>
      <w:r w:rsidRPr="00EF01F1">
        <w:rPr>
          <w:rFonts w:cstheme="minorHAnsi"/>
        </w:rPr>
        <w:t xml:space="preserve">decarbonisation across </w:t>
      </w:r>
      <w:r>
        <w:rPr>
          <w:rFonts w:cstheme="minorHAnsi"/>
        </w:rPr>
        <w:t xml:space="preserve">European </w:t>
      </w:r>
      <w:r w:rsidRPr="00EF01F1">
        <w:rPr>
          <w:rFonts w:cstheme="minorHAnsi"/>
        </w:rPr>
        <w:t>countr</w:t>
      </w:r>
      <w:r>
        <w:rPr>
          <w:rFonts w:cstheme="minorHAnsi"/>
        </w:rPr>
        <w:t>ies</w:t>
      </w:r>
      <w:r w:rsidRPr="0042603A">
        <w:rPr>
          <w:szCs w:val="20"/>
        </w:rPr>
        <w:t xml:space="preserve">. </w:t>
      </w:r>
      <w:r>
        <w:rPr>
          <w:szCs w:val="20"/>
        </w:rPr>
        <w:t>A</w:t>
      </w:r>
      <w:r w:rsidRPr="0042603A">
        <w:rPr>
          <w:szCs w:val="20"/>
        </w:rPr>
        <w:t xml:space="preserve"> literature review </w:t>
      </w:r>
      <w:r>
        <w:rPr>
          <w:szCs w:val="20"/>
        </w:rPr>
        <w:t>was</w:t>
      </w:r>
      <w:r w:rsidRPr="0042603A">
        <w:rPr>
          <w:szCs w:val="20"/>
        </w:rPr>
        <w:t xml:space="preserve"> conducted to provide an updated picture of how </w:t>
      </w:r>
      <w:r>
        <w:rPr>
          <w:szCs w:val="20"/>
        </w:rPr>
        <w:t xml:space="preserve">different </w:t>
      </w:r>
      <w:r w:rsidRPr="0042603A">
        <w:rPr>
          <w:szCs w:val="20"/>
        </w:rPr>
        <w:t xml:space="preserve">stakeholders </w:t>
      </w:r>
      <w:r>
        <w:rPr>
          <w:szCs w:val="20"/>
        </w:rPr>
        <w:t>foresee</w:t>
      </w:r>
      <w:r w:rsidRPr="0042603A">
        <w:rPr>
          <w:szCs w:val="20"/>
        </w:rPr>
        <w:t xml:space="preserve"> the decarbonisation of the gas value chain</w:t>
      </w:r>
      <w:r>
        <w:rPr>
          <w:szCs w:val="20"/>
        </w:rPr>
        <w:t xml:space="preserve">. </w:t>
      </w:r>
      <w:r w:rsidRPr="0042603A">
        <w:rPr>
          <w:szCs w:val="20"/>
        </w:rPr>
        <w:t xml:space="preserve"> </w:t>
      </w:r>
      <w:r>
        <w:rPr>
          <w:szCs w:val="20"/>
        </w:rPr>
        <w:t xml:space="preserve">However, </w:t>
      </w:r>
      <w:r w:rsidRPr="0042603A">
        <w:rPr>
          <w:szCs w:val="20"/>
        </w:rPr>
        <w:t xml:space="preserve">due to the rapid evolvement of the sector and the upcoming changes in the legislative framework </w:t>
      </w:r>
      <w:r>
        <w:rPr>
          <w:szCs w:val="20"/>
        </w:rPr>
        <w:t>(</w:t>
      </w:r>
      <w:r w:rsidRPr="0042603A">
        <w:rPr>
          <w:szCs w:val="20"/>
        </w:rPr>
        <w:t>among others, by the Hydrogen and Decarbonised Gas Package</w:t>
      </w:r>
      <w:r>
        <w:rPr>
          <w:szCs w:val="20"/>
        </w:rPr>
        <w:t>) it is currently challenging to provide accurate predictions of future developments</w:t>
      </w:r>
      <w:r w:rsidRPr="0042603A">
        <w:rPr>
          <w:szCs w:val="20"/>
        </w:rPr>
        <w:t xml:space="preserve">. Nevertheless, some </w:t>
      </w:r>
      <w:r>
        <w:rPr>
          <w:szCs w:val="20"/>
        </w:rPr>
        <w:t xml:space="preserve">clear conclusions were identified and reported below. </w:t>
      </w:r>
    </w:p>
    <w:p w14:paraId="19482355" w14:textId="77777777" w:rsidR="00307B3E" w:rsidRPr="00BD6B9C" w:rsidRDefault="00307B3E" w:rsidP="00307B3E">
      <w:pPr>
        <w:jc w:val="both"/>
        <w:rPr>
          <w:szCs w:val="20"/>
        </w:rPr>
      </w:pPr>
      <w:r w:rsidRPr="00BD6B9C">
        <w:rPr>
          <w:szCs w:val="20"/>
        </w:rPr>
        <w:t>For hydrogen injection concentration in the natural gas grid, it is concluded that:</w:t>
      </w:r>
    </w:p>
    <w:p w14:paraId="7F802B79" w14:textId="77777777" w:rsidR="00307B3E" w:rsidRPr="0042603A" w:rsidRDefault="00307B3E" w:rsidP="00307B3E">
      <w:pPr>
        <w:jc w:val="both"/>
        <w:rPr>
          <w:szCs w:val="20"/>
        </w:rPr>
      </w:pPr>
      <w:r w:rsidRPr="0042603A">
        <w:rPr>
          <w:szCs w:val="20"/>
        </w:rPr>
        <w:t>•</w:t>
      </w:r>
      <w:r w:rsidRPr="0042603A">
        <w:rPr>
          <w:szCs w:val="20"/>
        </w:rPr>
        <w:tab/>
        <w:t>2 vol</w:t>
      </w:r>
      <w:r>
        <w:rPr>
          <w:szCs w:val="20"/>
        </w:rPr>
        <w:t xml:space="preserve"> </w:t>
      </w:r>
      <w:r w:rsidRPr="0042603A">
        <w:rPr>
          <w:szCs w:val="20"/>
        </w:rPr>
        <w:t xml:space="preserve">% </w:t>
      </w:r>
      <w:r>
        <w:rPr>
          <w:szCs w:val="20"/>
        </w:rPr>
        <w:t>h</w:t>
      </w:r>
      <w:r w:rsidRPr="0042603A">
        <w:rPr>
          <w:szCs w:val="20"/>
        </w:rPr>
        <w:t xml:space="preserve">ydrogen </w:t>
      </w:r>
      <w:proofErr w:type="gramStart"/>
      <w:r w:rsidRPr="0042603A">
        <w:rPr>
          <w:szCs w:val="20"/>
        </w:rPr>
        <w:t>content</w:t>
      </w:r>
      <w:proofErr w:type="gramEnd"/>
      <w:r w:rsidRPr="0042603A">
        <w:rPr>
          <w:szCs w:val="20"/>
        </w:rPr>
        <w:t xml:space="preserve"> could be handled </w:t>
      </w:r>
      <w:r>
        <w:rPr>
          <w:szCs w:val="20"/>
        </w:rPr>
        <w:t xml:space="preserve">by the gas network, including </w:t>
      </w:r>
      <w:r w:rsidRPr="0042603A">
        <w:rPr>
          <w:szCs w:val="20"/>
        </w:rPr>
        <w:t>sensitive industrial processes, like acetylene production and CNG stations.</w:t>
      </w:r>
    </w:p>
    <w:p w14:paraId="7310B89D" w14:textId="77777777" w:rsidR="00307B3E" w:rsidRPr="0042603A" w:rsidRDefault="00307B3E" w:rsidP="00307B3E">
      <w:pPr>
        <w:jc w:val="both"/>
        <w:rPr>
          <w:szCs w:val="20"/>
        </w:rPr>
      </w:pPr>
      <w:r w:rsidRPr="0042603A">
        <w:rPr>
          <w:szCs w:val="20"/>
        </w:rPr>
        <w:t>•</w:t>
      </w:r>
      <w:r w:rsidRPr="0042603A">
        <w:rPr>
          <w:szCs w:val="20"/>
        </w:rPr>
        <w:tab/>
        <w:t>5 vol</w:t>
      </w:r>
      <w:r>
        <w:rPr>
          <w:szCs w:val="20"/>
        </w:rPr>
        <w:t xml:space="preserve"> </w:t>
      </w:r>
      <w:r w:rsidRPr="0042603A">
        <w:rPr>
          <w:szCs w:val="20"/>
        </w:rPr>
        <w:t>%</w:t>
      </w:r>
      <w:r>
        <w:rPr>
          <w:szCs w:val="20"/>
        </w:rPr>
        <w:t xml:space="preserve"> h</w:t>
      </w:r>
      <w:r w:rsidRPr="0042603A">
        <w:rPr>
          <w:szCs w:val="20"/>
        </w:rPr>
        <w:t xml:space="preserve">ydrogen </w:t>
      </w:r>
      <w:proofErr w:type="gramStart"/>
      <w:r w:rsidRPr="0042603A">
        <w:rPr>
          <w:szCs w:val="20"/>
        </w:rPr>
        <w:t>content</w:t>
      </w:r>
      <w:proofErr w:type="gramEnd"/>
      <w:r w:rsidRPr="0042603A">
        <w:rPr>
          <w:szCs w:val="20"/>
        </w:rPr>
        <w:t xml:space="preserve"> should be accepted by </w:t>
      </w:r>
      <w:r w:rsidRPr="00541997">
        <w:rPr>
          <w:szCs w:val="20"/>
        </w:rPr>
        <w:t xml:space="preserve">Transmission System Operators </w:t>
      </w:r>
      <w:r>
        <w:rPr>
          <w:szCs w:val="20"/>
        </w:rPr>
        <w:t>(</w:t>
      </w:r>
      <w:r w:rsidRPr="0042603A">
        <w:rPr>
          <w:szCs w:val="20"/>
        </w:rPr>
        <w:t>TSOs</w:t>
      </w:r>
      <w:r>
        <w:rPr>
          <w:szCs w:val="20"/>
        </w:rPr>
        <w:t>)</w:t>
      </w:r>
      <w:r w:rsidRPr="0042603A">
        <w:rPr>
          <w:szCs w:val="20"/>
        </w:rPr>
        <w:t xml:space="preserve"> at interconnection points between the Union Member States from 1 October 2025, according to the Proposal for a Regulation of the European Parliament and of the Council on the internal markets for renewable and natural gases and for hydrogen.</w:t>
      </w:r>
    </w:p>
    <w:p w14:paraId="63876262" w14:textId="300CA0F5" w:rsidR="00307B3E" w:rsidRPr="0042603A" w:rsidRDefault="00307B3E" w:rsidP="00307B3E">
      <w:pPr>
        <w:jc w:val="both"/>
        <w:rPr>
          <w:szCs w:val="20"/>
        </w:rPr>
      </w:pPr>
      <w:r w:rsidRPr="0042603A">
        <w:rPr>
          <w:szCs w:val="20"/>
        </w:rPr>
        <w:t>•</w:t>
      </w:r>
      <w:r w:rsidRPr="0042603A">
        <w:rPr>
          <w:szCs w:val="20"/>
        </w:rPr>
        <w:tab/>
        <w:t>10</w:t>
      </w:r>
      <w:r>
        <w:rPr>
          <w:szCs w:val="20"/>
        </w:rPr>
        <w:t xml:space="preserve"> </w:t>
      </w:r>
      <w:r w:rsidRPr="0042603A">
        <w:rPr>
          <w:szCs w:val="20"/>
        </w:rPr>
        <w:t>vol</w:t>
      </w:r>
      <w:r>
        <w:rPr>
          <w:szCs w:val="20"/>
        </w:rPr>
        <w:t xml:space="preserve"> </w:t>
      </w:r>
      <w:r w:rsidRPr="0042603A">
        <w:rPr>
          <w:szCs w:val="20"/>
        </w:rPr>
        <w:t>%</w:t>
      </w:r>
      <w:r>
        <w:rPr>
          <w:szCs w:val="20"/>
        </w:rPr>
        <w:t xml:space="preserve"> </w:t>
      </w:r>
      <w:r w:rsidRPr="0042603A">
        <w:rPr>
          <w:szCs w:val="20"/>
        </w:rPr>
        <w:t xml:space="preserve">hydrogen </w:t>
      </w:r>
      <w:proofErr w:type="gramStart"/>
      <w:r w:rsidRPr="0042603A">
        <w:rPr>
          <w:szCs w:val="20"/>
        </w:rPr>
        <w:t>content</w:t>
      </w:r>
      <w:proofErr w:type="gramEnd"/>
      <w:r w:rsidRPr="0042603A">
        <w:rPr>
          <w:szCs w:val="20"/>
        </w:rPr>
        <w:t xml:space="preserve"> could be generally accepted and fulfils current limits in relative density, High Heating Value (HHV) or </w:t>
      </w:r>
      <w:proofErr w:type="spellStart"/>
      <w:r w:rsidRPr="0042603A">
        <w:rPr>
          <w:szCs w:val="20"/>
        </w:rPr>
        <w:t>Wobbe</w:t>
      </w:r>
      <w:proofErr w:type="spellEnd"/>
      <w:r w:rsidRPr="0042603A">
        <w:rPr>
          <w:szCs w:val="20"/>
        </w:rPr>
        <w:t xml:space="preserve"> Index (WI) defined in European Standard</w:t>
      </w:r>
      <w:r>
        <w:rPr>
          <w:szCs w:val="20"/>
        </w:rPr>
        <w:t>s</w:t>
      </w:r>
      <w:r w:rsidRPr="0042603A">
        <w:rPr>
          <w:szCs w:val="20"/>
        </w:rPr>
        <w:t xml:space="preserve"> and EASEE-gas CBP. Additionally, this </w:t>
      </w:r>
      <w:r>
        <w:rPr>
          <w:szCs w:val="20"/>
        </w:rPr>
        <w:lastRenderedPageBreak/>
        <w:t xml:space="preserve">is the </w:t>
      </w:r>
      <w:r w:rsidRPr="0042603A">
        <w:rPr>
          <w:szCs w:val="20"/>
        </w:rPr>
        <w:t xml:space="preserve">hydrogen content expected in the short/mid-term scenario (2025-2030) by relevant stakeholders of the gas value chain </w:t>
      </w:r>
      <w:r w:rsidRPr="00541997">
        <w:rPr>
          <w:b/>
          <w:bCs/>
          <w:color w:val="4472C4" w:themeColor="accent1"/>
          <w:szCs w:val="20"/>
        </w:rPr>
        <w:t>[8] [9]</w:t>
      </w:r>
      <w:r w:rsidRPr="0042603A">
        <w:rPr>
          <w:szCs w:val="20"/>
        </w:rPr>
        <w:t>.</w:t>
      </w:r>
    </w:p>
    <w:p w14:paraId="5BD63379" w14:textId="77777777" w:rsidR="00307B3E" w:rsidRPr="0042603A" w:rsidRDefault="00307B3E" w:rsidP="00307B3E">
      <w:pPr>
        <w:jc w:val="both"/>
        <w:rPr>
          <w:szCs w:val="20"/>
        </w:rPr>
      </w:pPr>
      <w:r w:rsidRPr="0042603A">
        <w:rPr>
          <w:szCs w:val="20"/>
        </w:rPr>
        <w:t>•</w:t>
      </w:r>
      <w:r w:rsidRPr="0042603A">
        <w:rPr>
          <w:szCs w:val="20"/>
        </w:rPr>
        <w:tab/>
        <w:t>20 vol</w:t>
      </w:r>
      <w:r>
        <w:rPr>
          <w:szCs w:val="20"/>
        </w:rPr>
        <w:t xml:space="preserve"> </w:t>
      </w:r>
      <w:r w:rsidRPr="0042603A">
        <w:rPr>
          <w:szCs w:val="20"/>
        </w:rPr>
        <w:t xml:space="preserve">% </w:t>
      </w:r>
      <w:r>
        <w:rPr>
          <w:szCs w:val="20"/>
        </w:rPr>
        <w:t>h</w:t>
      </w:r>
      <w:r w:rsidRPr="0042603A">
        <w:rPr>
          <w:szCs w:val="20"/>
        </w:rPr>
        <w:t>ydrogen</w:t>
      </w:r>
      <w:r>
        <w:rPr>
          <w:szCs w:val="20"/>
        </w:rPr>
        <w:t xml:space="preserve"> </w:t>
      </w:r>
      <w:r w:rsidRPr="0042603A">
        <w:rPr>
          <w:szCs w:val="20"/>
        </w:rPr>
        <w:t xml:space="preserve">content </w:t>
      </w:r>
      <w:r>
        <w:rPr>
          <w:szCs w:val="20"/>
        </w:rPr>
        <w:t xml:space="preserve">is </w:t>
      </w:r>
      <w:r w:rsidRPr="0042603A">
        <w:rPr>
          <w:szCs w:val="20"/>
        </w:rPr>
        <w:t xml:space="preserve">expected in </w:t>
      </w:r>
      <w:r>
        <w:rPr>
          <w:szCs w:val="20"/>
        </w:rPr>
        <w:t xml:space="preserve">the </w:t>
      </w:r>
      <w:r w:rsidRPr="0042603A">
        <w:rPr>
          <w:szCs w:val="20"/>
        </w:rPr>
        <w:t xml:space="preserve">mid-term scenario (2030-2040) by relevant stakeholders of the gas value chain </w:t>
      </w:r>
      <w:r w:rsidRPr="00541997">
        <w:rPr>
          <w:b/>
          <w:bCs/>
          <w:color w:val="4472C4" w:themeColor="accent1"/>
          <w:szCs w:val="20"/>
        </w:rPr>
        <w:t>[8] [9]</w:t>
      </w:r>
      <w:r w:rsidRPr="0042603A">
        <w:rPr>
          <w:szCs w:val="20"/>
        </w:rPr>
        <w:t>.</w:t>
      </w:r>
    </w:p>
    <w:p w14:paraId="43819C0C" w14:textId="77777777" w:rsidR="00307B3E" w:rsidRDefault="00307B3E" w:rsidP="00307B3E">
      <w:pPr>
        <w:jc w:val="both"/>
        <w:rPr>
          <w:szCs w:val="20"/>
        </w:rPr>
      </w:pPr>
      <w:r w:rsidRPr="0042603A">
        <w:rPr>
          <w:szCs w:val="20"/>
        </w:rPr>
        <w:t>•</w:t>
      </w:r>
      <w:r w:rsidRPr="0042603A">
        <w:rPr>
          <w:szCs w:val="20"/>
        </w:rPr>
        <w:tab/>
        <w:t>100 vol</w:t>
      </w:r>
      <w:r>
        <w:rPr>
          <w:szCs w:val="20"/>
        </w:rPr>
        <w:t xml:space="preserve"> </w:t>
      </w:r>
      <w:r w:rsidRPr="0042603A">
        <w:rPr>
          <w:szCs w:val="20"/>
        </w:rPr>
        <w:t>%</w:t>
      </w:r>
      <w:r>
        <w:rPr>
          <w:szCs w:val="20"/>
        </w:rPr>
        <w:t xml:space="preserve"> hydrogen appears to be a longer-term </w:t>
      </w:r>
      <w:r w:rsidRPr="0042603A">
        <w:rPr>
          <w:szCs w:val="20"/>
        </w:rPr>
        <w:t>expect</w:t>
      </w:r>
      <w:r>
        <w:rPr>
          <w:szCs w:val="20"/>
        </w:rPr>
        <w:t>ation</w:t>
      </w:r>
      <w:r w:rsidRPr="0042603A">
        <w:rPr>
          <w:szCs w:val="20"/>
        </w:rPr>
        <w:t xml:space="preserve"> </w:t>
      </w:r>
      <w:r>
        <w:rPr>
          <w:szCs w:val="20"/>
        </w:rPr>
        <w:t>that requires</w:t>
      </w:r>
      <w:r w:rsidRPr="0042603A">
        <w:rPr>
          <w:szCs w:val="20"/>
        </w:rPr>
        <w:t xml:space="preserve"> repurposed or new hydrogen dedicated </w:t>
      </w:r>
      <w:r>
        <w:rPr>
          <w:szCs w:val="20"/>
        </w:rPr>
        <w:t xml:space="preserve">gas </w:t>
      </w:r>
      <w:r w:rsidRPr="0042603A">
        <w:rPr>
          <w:szCs w:val="20"/>
        </w:rPr>
        <w:t xml:space="preserve">grid. </w:t>
      </w:r>
      <w:r>
        <w:rPr>
          <w:szCs w:val="20"/>
        </w:rPr>
        <w:t>However, t</w:t>
      </w:r>
      <w:r w:rsidRPr="0042603A">
        <w:rPr>
          <w:szCs w:val="20"/>
        </w:rPr>
        <w:t>he repurposing of natural gas pipelines into dedicated hydrogen networks is already materialising in some Member States and can be a reality in few years</w:t>
      </w:r>
      <w:r>
        <w:rPr>
          <w:szCs w:val="20"/>
        </w:rPr>
        <w:t>’ time</w:t>
      </w:r>
      <w:r w:rsidRPr="0042603A">
        <w:rPr>
          <w:szCs w:val="20"/>
        </w:rPr>
        <w:t>.</w:t>
      </w:r>
    </w:p>
    <w:p w14:paraId="64E29B9B" w14:textId="15BD1EA5" w:rsidR="002A43CA" w:rsidRPr="002A43CA" w:rsidRDefault="002A43CA" w:rsidP="00307B3E">
      <w:pPr>
        <w:jc w:val="both"/>
        <w:rPr>
          <w:szCs w:val="20"/>
        </w:rPr>
      </w:pPr>
      <w:r w:rsidRPr="002A43CA">
        <w:rPr>
          <w:szCs w:val="20"/>
        </w:rPr>
        <w:t>Blending green hydrogen alongside other gases into the existing gas grid is considered a possible interim first step towards decarbonising natural gas. A range of studies and reports indicate that the presence of hydrogen in the gas grid up to a maximum of approximately 5 -10 vol % would be feasible without significant modifications to the gas infrastructure and end-consumer installations. A further increase towards the end of the decade to 15-20 vol % seems possible if modifications are introduced to the infrastructure and affected consumer installations.</w:t>
      </w:r>
      <w:r w:rsidR="00645275" w:rsidRPr="00645275">
        <w:t xml:space="preserve"> </w:t>
      </w:r>
      <w:r w:rsidR="00856B88">
        <w:t xml:space="preserve">For example, </w:t>
      </w:r>
      <w:r w:rsidR="00645275" w:rsidRPr="00645275">
        <w:rPr>
          <w:szCs w:val="20"/>
        </w:rPr>
        <w:t>ATEX classification</w:t>
      </w:r>
      <w:r w:rsidR="00856B88">
        <w:rPr>
          <w:szCs w:val="20"/>
        </w:rPr>
        <w:t xml:space="preserve"> </w:t>
      </w:r>
      <w:r w:rsidR="00645275" w:rsidRPr="00645275">
        <w:rPr>
          <w:szCs w:val="20"/>
        </w:rPr>
        <w:t>remains the same for natural gas with 20</w:t>
      </w:r>
      <w:r w:rsidR="00645275">
        <w:rPr>
          <w:szCs w:val="20"/>
        </w:rPr>
        <w:t xml:space="preserve"> vol </w:t>
      </w:r>
      <w:r w:rsidR="00645275" w:rsidRPr="00645275">
        <w:rPr>
          <w:szCs w:val="20"/>
        </w:rPr>
        <w:t xml:space="preserve">%, </w:t>
      </w:r>
      <w:r w:rsidR="00645275">
        <w:rPr>
          <w:szCs w:val="20"/>
        </w:rPr>
        <w:t xml:space="preserve">while </w:t>
      </w:r>
      <w:r w:rsidR="00645275" w:rsidRPr="00645275">
        <w:rPr>
          <w:szCs w:val="20"/>
        </w:rPr>
        <w:t>higher ATEX class</w:t>
      </w:r>
      <w:r w:rsidR="00645275">
        <w:rPr>
          <w:szCs w:val="20"/>
        </w:rPr>
        <w:t xml:space="preserve"> are required </w:t>
      </w:r>
      <w:r w:rsidR="00497768">
        <w:rPr>
          <w:szCs w:val="20"/>
        </w:rPr>
        <w:t>beyond 20 %</w:t>
      </w:r>
      <w:r w:rsidR="00645275" w:rsidRPr="00645275">
        <w:rPr>
          <w:szCs w:val="20"/>
        </w:rPr>
        <w:t>.</w:t>
      </w:r>
      <w:r w:rsidRPr="002A43CA">
        <w:rPr>
          <w:szCs w:val="20"/>
        </w:rPr>
        <w:t xml:space="preserve"> Raising hydrogen content beyond 20 % vol could be considered a mid to long-term goal instead.</w:t>
      </w:r>
    </w:p>
    <w:p w14:paraId="5E4C5232" w14:textId="1A4CE059" w:rsidR="00307B3E" w:rsidRPr="00BD6B9C" w:rsidRDefault="00307B3E" w:rsidP="00307B3E">
      <w:pPr>
        <w:jc w:val="both"/>
        <w:rPr>
          <w:b/>
          <w:bCs/>
          <w:szCs w:val="20"/>
        </w:rPr>
      </w:pPr>
      <w:r w:rsidRPr="00BD6B9C">
        <w:rPr>
          <w:b/>
          <w:bCs/>
          <w:szCs w:val="20"/>
        </w:rPr>
        <w:t xml:space="preserve">It is concluded that </w:t>
      </w:r>
      <w:r>
        <w:rPr>
          <w:b/>
          <w:bCs/>
          <w:szCs w:val="20"/>
        </w:rPr>
        <w:t xml:space="preserve">it </w:t>
      </w:r>
      <w:r w:rsidRPr="00BD6B9C">
        <w:rPr>
          <w:b/>
          <w:bCs/>
          <w:szCs w:val="20"/>
        </w:rPr>
        <w:t xml:space="preserve">would be </w:t>
      </w:r>
      <w:r>
        <w:rPr>
          <w:b/>
          <w:bCs/>
          <w:szCs w:val="20"/>
        </w:rPr>
        <w:t>relevant</w:t>
      </w:r>
      <w:r w:rsidRPr="00BD6B9C">
        <w:rPr>
          <w:b/>
          <w:bCs/>
          <w:szCs w:val="20"/>
        </w:rPr>
        <w:t xml:space="preserve"> to test flow meters up to 20 vol % hydrogen content and </w:t>
      </w:r>
      <w:r w:rsidR="002A43CA">
        <w:rPr>
          <w:b/>
          <w:bCs/>
          <w:szCs w:val="20"/>
        </w:rPr>
        <w:t xml:space="preserve">possibly </w:t>
      </w:r>
      <w:r w:rsidRPr="00BD6B9C">
        <w:rPr>
          <w:b/>
          <w:bCs/>
          <w:szCs w:val="20"/>
        </w:rPr>
        <w:t xml:space="preserve">at 100 vol % hydrogen </w:t>
      </w:r>
      <w:proofErr w:type="gramStart"/>
      <w:r w:rsidRPr="00BD6B9C">
        <w:rPr>
          <w:b/>
          <w:bCs/>
          <w:szCs w:val="20"/>
        </w:rPr>
        <w:t>content</w:t>
      </w:r>
      <w:proofErr w:type="gramEnd"/>
      <w:r w:rsidRPr="00BD6B9C">
        <w:rPr>
          <w:b/>
          <w:bCs/>
          <w:szCs w:val="20"/>
        </w:rPr>
        <w:t xml:space="preserve"> as part of Work Package (WP) 1 ‘Flow Metering’ of the EMPIR Metrology for Decarbonising the Gas Grid project (Decarb project).</w:t>
      </w:r>
    </w:p>
    <w:p w14:paraId="30FA4033" w14:textId="77777777" w:rsidR="00307B3E" w:rsidRDefault="00307B3E" w:rsidP="00307B3E">
      <w:pPr>
        <w:jc w:val="both"/>
        <w:rPr>
          <w:szCs w:val="20"/>
        </w:rPr>
      </w:pPr>
      <w:r w:rsidRPr="0042603A">
        <w:rPr>
          <w:szCs w:val="20"/>
        </w:rPr>
        <w:t xml:space="preserve">Typical values of domestic, distribution and transmission grid pressure </w:t>
      </w:r>
      <w:r>
        <w:rPr>
          <w:szCs w:val="20"/>
        </w:rPr>
        <w:t>were identified as follow:</w:t>
      </w:r>
      <w:r w:rsidRPr="00A90221">
        <w:rPr>
          <w:szCs w:val="20"/>
        </w:rPr>
        <w:t xml:space="preserve"> </w:t>
      </w:r>
    </w:p>
    <w:p w14:paraId="0B7DBDEC" w14:textId="77777777" w:rsidR="00307B3E" w:rsidRPr="00A90221" w:rsidRDefault="00307B3E" w:rsidP="00307B3E">
      <w:pPr>
        <w:pStyle w:val="ListParagraph"/>
        <w:numPr>
          <w:ilvl w:val="0"/>
          <w:numId w:val="21"/>
        </w:numPr>
        <w:jc w:val="both"/>
        <w:rPr>
          <w:szCs w:val="20"/>
        </w:rPr>
      </w:pPr>
      <w:r>
        <w:rPr>
          <w:rFonts w:asciiTheme="minorHAnsi" w:hAnsiTheme="minorHAnsi" w:cstheme="minorHAnsi"/>
          <w:szCs w:val="20"/>
        </w:rPr>
        <w:t xml:space="preserve">20 </w:t>
      </w:r>
      <w:proofErr w:type="spellStart"/>
      <w:r>
        <w:rPr>
          <w:rFonts w:asciiTheme="minorHAnsi" w:hAnsiTheme="minorHAnsi" w:cstheme="minorHAnsi"/>
          <w:szCs w:val="20"/>
        </w:rPr>
        <w:t>to</w:t>
      </w:r>
      <w:proofErr w:type="spellEnd"/>
      <w:r>
        <w:rPr>
          <w:rFonts w:asciiTheme="minorHAnsi" w:hAnsiTheme="minorHAnsi" w:cstheme="minorHAnsi"/>
          <w:szCs w:val="20"/>
        </w:rPr>
        <w:t xml:space="preserve"> 25 mbar for </w:t>
      </w:r>
      <w:proofErr w:type="spellStart"/>
      <w:r>
        <w:rPr>
          <w:rFonts w:asciiTheme="minorHAnsi" w:hAnsiTheme="minorHAnsi" w:cstheme="minorHAnsi"/>
          <w:szCs w:val="20"/>
        </w:rPr>
        <w:t>domestic</w:t>
      </w:r>
      <w:proofErr w:type="spellEnd"/>
      <w:r>
        <w:rPr>
          <w:rFonts w:asciiTheme="minorHAnsi" w:hAnsiTheme="minorHAnsi" w:cstheme="minorHAnsi"/>
          <w:szCs w:val="20"/>
        </w:rPr>
        <w:t xml:space="preserve"> use</w:t>
      </w:r>
    </w:p>
    <w:p w14:paraId="71EBAE98" w14:textId="77777777" w:rsidR="00307B3E" w:rsidRPr="007730FA" w:rsidRDefault="00307B3E" w:rsidP="00307B3E">
      <w:pPr>
        <w:pStyle w:val="ListParagraph"/>
        <w:numPr>
          <w:ilvl w:val="0"/>
          <w:numId w:val="21"/>
        </w:numPr>
        <w:jc w:val="both"/>
        <w:rPr>
          <w:szCs w:val="20"/>
          <w:lang w:val="en-GB"/>
        </w:rPr>
      </w:pPr>
      <w:r w:rsidRPr="007730FA">
        <w:rPr>
          <w:rFonts w:asciiTheme="minorHAnsi" w:hAnsiTheme="minorHAnsi" w:cstheme="minorHAnsi"/>
          <w:szCs w:val="20"/>
          <w:lang w:val="en-GB"/>
        </w:rPr>
        <w:t xml:space="preserve">up to and </w:t>
      </w:r>
      <w:r w:rsidRPr="00002A00">
        <w:rPr>
          <w:rFonts w:asciiTheme="minorHAnsi" w:hAnsiTheme="minorHAnsi" w:cstheme="minorHAnsi"/>
          <w:szCs w:val="20"/>
          <w:lang w:val="en-GB"/>
        </w:rPr>
        <w:t>including</w:t>
      </w:r>
      <w:r w:rsidRPr="007730FA">
        <w:rPr>
          <w:rFonts w:asciiTheme="minorHAnsi" w:hAnsiTheme="minorHAnsi" w:cstheme="minorHAnsi"/>
          <w:szCs w:val="20"/>
          <w:lang w:val="en-GB"/>
        </w:rPr>
        <w:t xml:space="preserve"> 16 </w:t>
      </w:r>
      <w:proofErr w:type="gramStart"/>
      <w:r w:rsidRPr="007730FA">
        <w:rPr>
          <w:rFonts w:asciiTheme="minorHAnsi" w:hAnsiTheme="minorHAnsi" w:cstheme="minorHAnsi"/>
          <w:szCs w:val="20"/>
          <w:lang w:val="en-GB"/>
        </w:rPr>
        <w:t>bar</w:t>
      </w:r>
      <w:proofErr w:type="gramEnd"/>
      <w:r w:rsidRPr="007730FA">
        <w:rPr>
          <w:rFonts w:asciiTheme="minorHAnsi" w:hAnsiTheme="minorHAnsi" w:cstheme="minorHAnsi"/>
          <w:szCs w:val="20"/>
          <w:lang w:val="en-GB"/>
        </w:rPr>
        <w:t xml:space="preserve"> for </w:t>
      </w:r>
      <w:r w:rsidRPr="00002A00">
        <w:rPr>
          <w:rFonts w:asciiTheme="minorHAnsi" w:hAnsiTheme="minorHAnsi" w:cstheme="minorHAnsi"/>
          <w:szCs w:val="20"/>
          <w:lang w:val="en-GB"/>
        </w:rPr>
        <w:t>distribution</w:t>
      </w:r>
      <w:r w:rsidRPr="007730FA">
        <w:rPr>
          <w:rFonts w:asciiTheme="minorHAnsi" w:hAnsiTheme="minorHAnsi" w:cstheme="minorHAnsi"/>
          <w:szCs w:val="20"/>
          <w:lang w:val="en-GB"/>
        </w:rPr>
        <w:t xml:space="preserve"> pipelines</w:t>
      </w:r>
    </w:p>
    <w:p w14:paraId="7995EF55" w14:textId="5E09EC88" w:rsidR="00307B3E" w:rsidRPr="007730FA" w:rsidRDefault="00271E0C" w:rsidP="00307B3E">
      <w:pPr>
        <w:pStyle w:val="ListParagraph"/>
        <w:numPr>
          <w:ilvl w:val="0"/>
          <w:numId w:val="21"/>
        </w:numPr>
        <w:jc w:val="both"/>
        <w:rPr>
          <w:szCs w:val="20"/>
          <w:lang w:val="en-GB"/>
        </w:rPr>
      </w:pPr>
      <w:proofErr w:type="gramStart"/>
      <w:r w:rsidRPr="007730FA">
        <w:rPr>
          <w:rFonts w:asciiTheme="minorHAnsi" w:hAnsiTheme="minorHAnsi" w:cstheme="minorHAnsi"/>
          <w:szCs w:val="20"/>
          <w:lang w:val="en-GB"/>
        </w:rPr>
        <w:t>typically</w:t>
      </w:r>
      <w:proofErr w:type="gramEnd"/>
      <w:r w:rsidRPr="007730FA">
        <w:rPr>
          <w:rFonts w:asciiTheme="minorHAnsi" w:hAnsiTheme="minorHAnsi" w:cstheme="minorHAnsi"/>
          <w:szCs w:val="20"/>
          <w:lang w:val="en-GB"/>
        </w:rPr>
        <w:t xml:space="preserve"> </w:t>
      </w:r>
      <w:r w:rsidR="00307B3E" w:rsidRPr="007730FA">
        <w:rPr>
          <w:rFonts w:asciiTheme="minorHAnsi" w:hAnsiTheme="minorHAnsi" w:cstheme="minorHAnsi"/>
          <w:szCs w:val="20"/>
          <w:lang w:val="en-GB"/>
        </w:rPr>
        <w:t>between 50 to 80 bar for transmission pipelines</w:t>
      </w:r>
    </w:p>
    <w:p w14:paraId="080B824C" w14:textId="77777777" w:rsidR="00307B3E" w:rsidRDefault="00307B3E" w:rsidP="00307B3E">
      <w:pPr>
        <w:jc w:val="both"/>
        <w:rPr>
          <w:szCs w:val="20"/>
        </w:rPr>
      </w:pPr>
    </w:p>
    <w:p w14:paraId="3C925F2C" w14:textId="788A78C7" w:rsidR="00307B3E" w:rsidRDefault="00307B3E" w:rsidP="00307B3E">
      <w:pPr>
        <w:jc w:val="both"/>
        <w:rPr>
          <w:szCs w:val="20"/>
        </w:rPr>
      </w:pPr>
      <w:r w:rsidRPr="0042603A">
        <w:rPr>
          <w:szCs w:val="20"/>
        </w:rPr>
        <w:t xml:space="preserve">In </w:t>
      </w:r>
      <w:r>
        <w:rPr>
          <w:szCs w:val="20"/>
        </w:rPr>
        <w:t>term of flow rates</w:t>
      </w:r>
      <w:r w:rsidRPr="0042603A">
        <w:rPr>
          <w:szCs w:val="20"/>
        </w:rPr>
        <w:t xml:space="preserve">, </w:t>
      </w:r>
      <w:r>
        <w:rPr>
          <w:szCs w:val="20"/>
        </w:rPr>
        <w:t xml:space="preserve">there is a considerable </w:t>
      </w:r>
      <w:r w:rsidRPr="0042603A">
        <w:rPr>
          <w:szCs w:val="20"/>
        </w:rPr>
        <w:t>variability of ranges</w:t>
      </w:r>
      <w:r>
        <w:rPr>
          <w:szCs w:val="20"/>
        </w:rPr>
        <w:t xml:space="preserve"> across the gas networks. </w:t>
      </w:r>
      <w:r w:rsidRPr="00FD4369">
        <w:rPr>
          <w:szCs w:val="20"/>
        </w:rPr>
        <w:t xml:space="preserve">A traditional limit of 20 m/s (72 km/h) for the flow velocity is used in the natural gas grid, although deviations from this are also possible. </w:t>
      </w:r>
      <w:r>
        <w:rPr>
          <w:szCs w:val="20"/>
        </w:rPr>
        <w:t>For example, i</w:t>
      </w:r>
      <w:r w:rsidRPr="00FD4369">
        <w:rPr>
          <w:szCs w:val="20"/>
        </w:rPr>
        <w:t>n large transmission pipelines, the flow velocity usually is lower.</w:t>
      </w:r>
      <w:r w:rsidRPr="00F977FD">
        <w:rPr>
          <w:szCs w:val="20"/>
        </w:rPr>
        <w:t xml:space="preserve"> However, the flow velocity for pure hydrogen would need to be considerably higher than 20 m/s </w:t>
      </w:r>
      <w:r w:rsidRPr="009115B5">
        <w:rPr>
          <w:szCs w:val="20"/>
        </w:rPr>
        <w:t>to match the energy transport capacity of natural gas</w:t>
      </w:r>
      <w:r>
        <w:rPr>
          <w:szCs w:val="20"/>
        </w:rPr>
        <w:t xml:space="preserve"> for a given pressure and pipe size. A further assessment is required to establish the hydrogen flow velocity limit.</w:t>
      </w:r>
      <w:r w:rsidRPr="009115B5">
        <w:rPr>
          <w:szCs w:val="20"/>
        </w:rPr>
        <w:t xml:space="preserve"> </w:t>
      </w:r>
      <w:bookmarkStart w:id="4" w:name="_Hlk121830643"/>
      <w:r w:rsidR="00080945" w:rsidRPr="00080945">
        <w:rPr>
          <w:szCs w:val="20"/>
        </w:rPr>
        <w:t>There is a high variability in the European gas pipelines’ size depending on their use</w:t>
      </w:r>
      <w:r w:rsidR="00160C11">
        <w:rPr>
          <w:szCs w:val="20"/>
        </w:rPr>
        <w:t>.</w:t>
      </w:r>
      <w:r w:rsidR="00AF2263">
        <w:rPr>
          <w:szCs w:val="20"/>
        </w:rPr>
        <w:t xml:space="preserve"> </w:t>
      </w:r>
      <w:r w:rsidR="00160C11">
        <w:rPr>
          <w:szCs w:val="20"/>
        </w:rPr>
        <w:t>P</w:t>
      </w:r>
      <w:r w:rsidR="00CF249E">
        <w:rPr>
          <w:szCs w:val="20"/>
        </w:rPr>
        <w:t xml:space="preserve">ipeline </w:t>
      </w:r>
      <w:r w:rsidR="00160C11">
        <w:rPr>
          <w:szCs w:val="20"/>
        </w:rPr>
        <w:t xml:space="preserve">diameters range is generally </w:t>
      </w:r>
      <w:r w:rsidR="00CF249E">
        <w:rPr>
          <w:szCs w:val="20"/>
        </w:rPr>
        <w:t>between 5” and 41”</w:t>
      </w:r>
      <w:r w:rsidR="00160C11">
        <w:rPr>
          <w:szCs w:val="20"/>
        </w:rPr>
        <w:t xml:space="preserve">, </w:t>
      </w:r>
      <w:r w:rsidR="00D84FC7">
        <w:rPr>
          <w:szCs w:val="20"/>
        </w:rPr>
        <w:t xml:space="preserve">with </w:t>
      </w:r>
      <w:r>
        <w:rPr>
          <w:szCs w:val="20"/>
        </w:rPr>
        <w:t xml:space="preserve">pipeline </w:t>
      </w:r>
      <w:r w:rsidR="00765EAB">
        <w:rPr>
          <w:szCs w:val="20"/>
        </w:rPr>
        <w:t xml:space="preserve">sizes </w:t>
      </w:r>
      <w:r w:rsidR="00D84FC7">
        <w:rPr>
          <w:szCs w:val="20"/>
        </w:rPr>
        <w:t xml:space="preserve">closer to the lower </w:t>
      </w:r>
      <w:r w:rsidR="00C55E3A">
        <w:rPr>
          <w:szCs w:val="20"/>
        </w:rPr>
        <w:t xml:space="preserve">end </w:t>
      </w:r>
      <w:r w:rsidR="00A55EB5">
        <w:rPr>
          <w:szCs w:val="20"/>
        </w:rPr>
        <w:t xml:space="preserve">of this </w:t>
      </w:r>
      <w:r w:rsidR="00D84FC7">
        <w:rPr>
          <w:szCs w:val="20"/>
        </w:rPr>
        <w:t xml:space="preserve">range </w:t>
      </w:r>
      <w:r w:rsidR="00765EAB">
        <w:rPr>
          <w:szCs w:val="20"/>
        </w:rPr>
        <w:t xml:space="preserve">for </w:t>
      </w:r>
      <w:r w:rsidR="00765EAB" w:rsidRPr="00765EAB">
        <w:rPr>
          <w:szCs w:val="20"/>
        </w:rPr>
        <w:t xml:space="preserve">gas distribution </w:t>
      </w:r>
      <w:r w:rsidR="00765EAB">
        <w:rPr>
          <w:szCs w:val="20"/>
        </w:rPr>
        <w:t xml:space="preserve">network </w:t>
      </w:r>
      <w:r w:rsidR="00D84FC7">
        <w:rPr>
          <w:szCs w:val="20"/>
        </w:rPr>
        <w:t xml:space="preserve">and </w:t>
      </w:r>
      <w:r w:rsidR="00765EAB">
        <w:rPr>
          <w:szCs w:val="20"/>
        </w:rPr>
        <w:t>closer</w:t>
      </w:r>
      <w:r w:rsidR="008506F3">
        <w:rPr>
          <w:szCs w:val="20"/>
        </w:rPr>
        <w:t xml:space="preserve"> to</w:t>
      </w:r>
      <w:r w:rsidR="00765EAB">
        <w:rPr>
          <w:szCs w:val="20"/>
        </w:rPr>
        <w:t xml:space="preserve"> </w:t>
      </w:r>
      <w:r w:rsidR="00D84FC7">
        <w:rPr>
          <w:szCs w:val="20"/>
        </w:rPr>
        <w:t>the higher</w:t>
      </w:r>
      <w:r w:rsidR="0097085C">
        <w:rPr>
          <w:szCs w:val="20"/>
        </w:rPr>
        <w:t xml:space="preserve"> end </w:t>
      </w:r>
      <w:r w:rsidR="00C55E3A">
        <w:rPr>
          <w:szCs w:val="20"/>
        </w:rPr>
        <w:t xml:space="preserve">of this range </w:t>
      </w:r>
      <w:r w:rsidR="0097085C">
        <w:rPr>
          <w:szCs w:val="20"/>
        </w:rPr>
        <w:t>for gas transmission network</w:t>
      </w:r>
      <w:r w:rsidR="00D84FC7">
        <w:rPr>
          <w:szCs w:val="20"/>
        </w:rPr>
        <w:t xml:space="preserve">. </w:t>
      </w:r>
      <w:r w:rsidR="00155309">
        <w:rPr>
          <w:szCs w:val="20"/>
        </w:rPr>
        <w:t xml:space="preserve">Although it would have been </w:t>
      </w:r>
      <w:r w:rsidR="00003F71">
        <w:rPr>
          <w:szCs w:val="20"/>
        </w:rPr>
        <w:t>relevant to conduct test</w:t>
      </w:r>
      <w:r w:rsidR="0097085C">
        <w:rPr>
          <w:szCs w:val="20"/>
        </w:rPr>
        <w:t>s</w:t>
      </w:r>
      <w:r w:rsidR="00003F71">
        <w:rPr>
          <w:szCs w:val="20"/>
        </w:rPr>
        <w:t xml:space="preserve"> over the entire pipeline diameters range</w:t>
      </w:r>
      <w:r w:rsidR="00C55E3A">
        <w:rPr>
          <w:szCs w:val="20"/>
        </w:rPr>
        <w:t>,</w:t>
      </w:r>
      <w:r w:rsidR="0097085C">
        <w:rPr>
          <w:szCs w:val="20"/>
        </w:rPr>
        <w:t xml:space="preserve"> this </w:t>
      </w:r>
      <w:r w:rsidR="006A3B98">
        <w:rPr>
          <w:szCs w:val="20"/>
        </w:rPr>
        <w:t>will</w:t>
      </w:r>
      <w:r w:rsidR="0097085C">
        <w:rPr>
          <w:szCs w:val="20"/>
        </w:rPr>
        <w:t xml:space="preserve"> not be possible </w:t>
      </w:r>
      <w:r w:rsidR="00CB5476">
        <w:rPr>
          <w:szCs w:val="20"/>
        </w:rPr>
        <w:t xml:space="preserve">since </w:t>
      </w:r>
      <w:r w:rsidR="002A2F17">
        <w:rPr>
          <w:szCs w:val="20"/>
        </w:rPr>
        <w:t xml:space="preserve">the upper range is </w:t>
      </w:r>
      <w:r w:rsidR="00CB5476">
        <w:rPr>
          <w:szCs w:val="20"/>
        </w:rPr>
        <w:t xml:space="preserve">outside the </w:t>
      </w:r>
      <w:r w:rsidR="006A3B98">
        <w:rPr>
          <w:szCs w:val="20"/>
        </w:rPr>
        <w:t>test facilitates operating envelope</w:t>
      </w:r>
      <w:r w:rsidR="00AE4E59">
        <w:rPr>
          <w:szCs w:val="20"/>
        </w:rPr>
        <w:t xml:space="preserve"> </w:t>
      </w:r>
      <w:r w:rsidR="003D753F">
        <w:rPr>
          <w:szCs w:val="20"/>
        </w:rPr>
        <w:t xml:space="preserve">limit </w:t>
      </w:r>
      <w:r w:rsidR="00AE4E59">
        <w:rPr>
          <w:szCs w:val="20"/>
        </w:rPr>
        <w:t>of 17”</w:t>
      </w:r>
      <w:r w:rsidR="006A3B98">
        <w:rPr>
          <w:szCs w:val="20"/>
        </w:rPr>
        <w:t xml:space="preserve">. </w:t>
      </w:r>
      <w:r w:rsidR="00003F71">
        <w:rPr>
          <w:szCs w:val="20"/>
        </w:rPr>
        <w:t xml:space="preserve"> </w:t>
      </w:r>
    </w:p>
    <w:p w14:paraId="5659F25A" w14:textId="471EE901" w:rsidR="00307B3E" w:rsidRPr="00BD6B9C" w:rsidRDefault="00307B3E" w:rsidP="00307B3E">
      <w:pPr>
        <w:jc w:val="both"/>
        <w:rPr>
          <w:b/>
          <w:bCs/>
          <w:szCs w:val="20"/>
        </w:rPr>
      </w:pPr>
      <w:r w:rsidRPr="00BD6B9C">
        <w:rPr>
          <w:b/>
          <w:bCs/>
          <w:szCs w:val="20"/>
        </w:rPr>
        <w:t>It is concluded that tests in Work Package (WP) 1 ‘Flow Metering’ will be conducted with flow meters between 5” and 17”, and with smaller size</w:t>
      </w:r>
      <w:r>
        <w:rPr>
          <w:b/>
          <w:bCs/>
          <w:szCs w:val="20"/>
        </w:rPr>
        <w:t xml:space="preserve"> meters</w:t>
      </w:r>
      <w:r w:rsidRPr="00BD6B9C">
        <w:rPr>
          <w:b/>
          <w:bCs/>
          <w:szCs w:val="20"/>
        </w:rPr>
        <w:t xml:space="preserve"> for domestic meters. Flow rates and pressure will be primarily dictated by the test facilities operating envelope</w:t>
      </w:r>
      <w:r>
        <w:rPr>
          <w:b/>
          <w:bCs/>
          <w:szCs w:val="20"/>
        </w:rPr>
        <w:t xml:space="preserve"> and effort will be put to match the values reported above</w:t>
      </w:r>
      <w:r w:rsidRPr="00BD6B9C">
        <w:rPr>
          <w:b/>
          <w:bCs/>
          <w:szCs w:val="20"/>
        </w:rPr>
        <w:t xml:space="preserve">.   </w:t>
      </w:r>
    </w:p>
    <w:bookmarkEnd w:id="4"/>
    <w:p w14:paraId="53B33897" w14:textId="77777777" w:rsidR="00307B3E" w:rsidRPr="006C19B8" w:rsidRDefault="00307B3E" w:rsidP="00307B3E">
      <w:pPr>
        <w:jc w:val="both"/>
        <w:rPr>
          <w:szCs w:val="20"/>
        </w:rPr>
      </w:pPr>
      <w:r w:rsidRPr="006C19B8">
        <w:rPr>
          <w:szCs w:val="20"/>
        </w:rPr>
        <w:t>A metering technology literature review was presented in this report. The review conclusions are divided between physical properties models, distribution/transmission flow meters and domestic meters as follow:</w:t>
      </w:r>
    </w:p>
    <w:p w14:paraId="1D8EE727" w14:textId="77777777" w:rsidR="00307B3E" w:rsidRPr="00581642" w:rsidRDefault="00307B3E" w:rsidP="00307B3E">
      <w:pPr>
        <w:jc w:val="both"/>
        <w:rPr>
          <w:szCs w:val="20"/>
        </w:rPr>
      </w:pPr>
      <w:r w:rsidRPr="006C19B8">
        <w:rPr>
          <w:szCs w:val="20"/>
        </w:rPr>
        <w:t>•</w:t>
      </w:r>
      <w:r w:rsidRPr="006C19B8">
        <w:rPr>
          <w:szCs w:val="20"/>
        </w:rPr>
        <w:tab/>
      </w:r>
      <w:r w:rsidRPr="00581642">
        <w:rPr>
          <w:szCs w:val="20"/>
        </w:rPr>
        <w:t xml:space="preserve">Physical properties models: </w:t>
      </w:r>
    </w:p>
    <w:p w14:paraId="0E468509" w14:textId="50A2A81B" w:rsidR="00307B3E" w:rsidRPr="006C19B8" w:rsidRDefault="00307B3E" w:rsidP="00307B3E">
      <w:pPr>
        <w:jc w:val="both"/>
        <w:rPr>
          <w:szCs w:val="20"/>
        </w:rPr>
      </w:pPr>
      <w:r w:rsidRPr="006C19B8">
        <w:rPr>
          <w:szCs w:val="20"/>
        </w:rPr>
        <w:t>The density difference between GERG-2008 and AGA8-DC92 models is well within ±0.03 % for a typical natural gas blend with up to 50 % hydrogen concentration and pressure between 5 and 50 bara. Studies in the literature</w:t>
      </w:r>
      <w:r w:rsidR="00002A00">
        <w:rPr>
          <w:szCs w:val="20"/>
        </w:rPr>
        <w:t xml:space="preserve"> </w:t>
      </w:r>
      <w:r w:rsidR="00002A00">
        <w:rPr>
          <w:szCs w:val="20"/>
        </w:rPr>
        <w:t>(see Section 5.1)</w:t>
      </w:r>
      <w:r w:rsidRPr="006C19B8">
        <w:rPr>
          <w:szCs w:val="20"/>
        </w:rPr>
        <w:t xml:space="preserve"> show that GERG-2008 is within ±0.05 % of the experimental density results for up to 10 % hydrogen concentration natural gas blends and within ±0.1 % up to 30 % hydrogen concentration. </w:t>
      </w:r>
    </w:p>
    <w:p w14:paraId="426A50C8" w14:textId="77777777" w:rsidR="00307B3E" w:rsidRPr="006C19B8" w:rsidRDefault="00307B3E" w:rsidP="00307B3E">
      <w:pPr>
        <w:jc w:val="both"/>
        <w:rPr>
          <w:szCs w:val="20"/>
        </w:rPr>
      </w:pPr>
      <w:r w:rsidRPr="006C19B8">
        <w:rPr>
          <w:szCs w:val="20"/>
        </w:rPr>
        <w:t xml:space="preserve">The speed of sound difference between GERG-2008 and AGA8-DC92 models is well within ±0.05 % for a typical natural gas blend with up to 20 % hydrogen concentration and pressure between 5 and 50 bara. Further work is required to assess GERG-2008 and AGA8-DC92 performance against experimental data. However, tests at DNV with ultrasonic meters suggest that values are within 0.1 %. </w:t>
      </w:r>
    </w:p>
    <w:p w14:paraId="03A9F070" w14:textId="77777777" w:rsidR="00307B3E" w:rsidRPr="00581642" w:rsidRDefault="00307B3E" w:rsidP="00307B3E">
      <w:pPr>
        <w:jc w:val="both"/>
        <w:rPr>
          <w:b/>
          <w:bCs/>
          <w:szCs w:val="20"/>
        </w:rPr>
      </w:pPr>
      <w:r w:rsidRPr="006C19B8">
        <w:rPr>
          <w:szCs w:val="20"/>
        </w:rPr>
        <w:lastRenderedPageBreak/>
        <w:t xml:space="preserve">Further investigation is required to fully assess and further develop GERG-2008 and AGA8-DC92 models. </w:t>
      </w:r>
      <w:r w:rsidRPr="00581642">
        <w:rPr>
          <w:b/>
          <w:bCs/>
          <w:szCs w:val="20"/>
        </w:rPr>
        <w:t xml:space="preserve">However, it is concluded that GERG-2008 equation of state model can be used with confidence in the flow metering test work planned in Work Package (WP) 1 ‘Flow Metering’ of the EMPIR Metrology for Decarbonising the Gas Grid project (Decarb project). </w:t>
      </w:r>
      <w:r>
        <w:rPr>
          <w:b/>
          <w:bCs/>
          <w:szCs w:val="20"/>
        </w:rPr>
        <w:t xml:space="preserve">If improvements to this model or alternative better performing models are made available during this </w:t>
      </w:r>
      <w:proofErr w:type="gramStart"/>
      <w:r>
        <w:rPr>
          <w:b/>
          <w:bCs/>
          <w:szCs w:val="20"/>
        </w:rPr>
        <w:t>project</w:t>
      </w:r>
      <w:proofErr w:type="gramEnd"/>
      <w:r>
        <w:rPr>
          <w:b/>
          <w:bCs/>
          <w:szCs w:val="20"/>
        </w:rPr>
        <w:t xml:space="preserve"> then effort will be put to employ them. </w:t>
      </w:r>
    </w:p>
    <w:p w14:paraId="29799BC1" w14:textId="77777777" w:rsidR="00307B3E" w:rsidRPr="006C19B8" w:rsidRDefault="00307B3E" w:rsidP="00307B3E">
      <w:pPr>
        <w:jc w:val="both"/>
        <w:rPr>
          <w:szCs w:val="20"/>
        </w:rPr>
      </w:pPr>
    </w:p>
    <w:p w14:paraId="531588CB" w14:textId="4B4A27E8" w:rsidR="00B75BE6" w:rsidRDefault="00B75BE6" w:rsidP="00B75BE6">
      <w:pPr>
        <w:pStyle w:val="ListParagraph"/>
        <w:numPr>
          <w:ilvl w:val="0"/>
          <w:numId w:val="24"/>
        </w:numPr>
        <w:jc w:val="both"/>
        <w:rPr>
          <w:rFonts w:asciiTheme="minorHAnsi" w:hAnsiTheme="minorHAnsi" w:cstheme="minorHAnsi"/>
          <w:b/>
          <w:bCs/>
          <w:szCs w:val="20"/>
          <w:lang w:val="en-GB"/>
        </w:rPr>
      </w:pPr>
      <w:r w:rsidRPr="00BD6DD6">
        <w:rPr>
          <w:rFonts w:asciiTheme="minorHAnsi" w:hAnsiTheme="minorHAnsi" w:cstheme="minorHAnsi"/>
          <w:szCs w:val="20"/>
          <w:lang w:val="en-GB"/>
        </w:rPr>
        <w:t>Distribution and transmission flow meters:</w:t>
      </w:r>
      <w:r w:rsidRPr="00BD6DD6">
        <w:rPr>
          <w:rFonts w:asciiTheme="minorHAnsi" w:hAnsiTheme="minorHAnsi" w:cstheme="minorHAnsi"/>
          <w:b/>
          <w:bCs/>
          <w:szCs w:val="20"/>
          <w:lang w:val="en-GB"/>
        </w:rPr>
        <w:t xml:space="preserve"> </w:t>
      </w:r>
    </w:p>
    <w:p w14:paraId="4BB3B443" w14:textId="77777777" w:rsidR="00C50AAB" w:rsidRPr="00BD6DD6" w:rsidRDefault="00C50AAB" w:rsidP="00C50AAB">
      <w:pPr>
        <w:pStyle w:val="ListParagraph"/>
        <w:jc w:val="both"/>
        <w:rPr>
          <w:rFonts w:asciiTheme="minorHAnsi" w:hAnsiTheme="minorHAnsi" w:cstheme="minorHAnsi"/>
          <w:b/>
          <w:bCs/>
          <w:szCs w:val="20"/>
          <w:lang w:val="en-GB"/>
        </w:rPr>
      </w:pPr>
    </w:p>
    <w:p w14:paraId="7C2DBA8B" w14:textId="77777777" w:rsidR="00B75BE6" w:rsidRDefault="00B75BE6" w:rsidP="00B75BE6">
      <w:pPr>
        <w:jc w:val="both"/>
        <w:rPr>
          <w:szCs w:val="20"/>
        </w:rPr>
      </w:pPr>
      <w:r w:rsidRPr="006C19B8">
        <w:rPr>
          <w:szCs w:val="20"/>
        </w:rPr>
        <w:t xml:space="preserve">Test work with several 6” turbine meters show that their response in the Reynolds domain is similar between hydrogen-enriched natural gas (up to 30 % hydrogen concentration and 16 - 32 bara range) and natural gas. Instead, tests with ultrasonic meters generally show poorer results than for turbine meters. However, the ultrasonic meters response varies between tested meters, and it appears to be considerably influenced by the meter settings. The difference observed with rotary meters between natural gas and hydrogen enriched natural gas were typically well within 0.15 %. Coriolis meters are found to perform well within ±0.5 % both with hydrogen-enriched natural gas (up to 30 % hydrogen concentration and 16 - 32 bara range) and natural gas if they are properly compensated for pressure and speed of sound effects. To author`s best knowledge no differential pressure flow meters, such as orifice meters, were tested so far with hydrogen or hydrogen-enriched natural gas test. </w:t>
      </w:r>
      <w:r>
        <w:rPr>
          <w:szCs w:val="20"/>
        </w:rPr>
        <w:t xml:space="preserve">For all the meters technologies there is a general lack of test results with 100 % hydrogen openly available in the literature. </w:t>
      </w:r>
    </w:p>
    <w:p w14:paraId="015A6ECB" w14:textId="191767B7" w:rsidR="00B75BE6" w:rsidRPr="00581642" w:rsidRDefault="00B75BE6" w:rsidP="00B75BE6">
      <w:pPr>
        <w:jc w:val="both"/>
        <w:rPr>
          <w:b/>
          <w:bCs/>
          <w:szCs w:val="20"/>
        </w:rPr>
      </w:pPr>
      <w:r w:rsidRPr="00581642">
        <w:rPr>
          <w:b/>
          <w:bCs/>
          <w:szCs w:val="20"/>
        </w:rPr>
        <w:t xml:space="preserve">It is concluded that </w:t>
      </w:r>
      <w:r>
        <w:rPr>
          <w:b/>
          <w:bCs/>
          <w:szCs w:val="20"/>
        </w:rPr>
        <w:t xml:space="preserve">it </w:t>
      </w:r>
      <w:r w:rsidRPr="00581642">
        <w:rPr>
          <w:b/>
          <w:bCs/>
          <w:szCs w:val="20"/>
        </w:rPr>
        <w:t xml:space="preserve">would be </w:t>
      </w:r>
      <w:r>
        <w:rPr>
          <w:b/>
          <w:bCs/>
          <w:szCs w:val="20"/>
        </w:rPr>
        <w:t>of interest t</w:t>
      </w:r>
      <w:r w:rsidRPr="00FD3BF7">
        <w:rPr>
          <w:b/>
          <w:bCs/>
          <w:szCs w:val="20"/>
        </w:rPr>
        <w:t>o conduct tests with 100 % hydrogen as part of Work Package (WP) 1 ‘Flow Metering’ of the EMPIR Metrology for Decarbonising the Gas Grid project (Decarb project).</w:t>
      </w:r>
      <w:r>
        <w:rPr>
          <w:b/>
          <w:bCs/>
          <w:szCs w:val="20"/>
        </w:rPr>
        <w:t xml:space="preserve"> </w:t>
      </w:r>
      <w:proofErr w:type="gramStart"/>
      <w:r>
        <w:rPr>
          <w:b/>
          <w:bCs/>
          <w:szCs w:val="20"/>
        </w:rPr>
        <w:t>In particular it</w:t>
      </w:r>
      <w:proofErr w:type="gramEnd"/>
      <w:r>
        <w:rPr>
          <w:b/>
          <w:bCs/>
          <w:szCs w:val="20"/>
        </w:rPr>
        <w:t xml:space="preserve"> would be interesting to </w:t>
      </w:r>
      <w:r w:rsidRPr="00581642">
        <w:rPr>
          <w:b/>
          <w:bCs/>
          <w:szCs w:val="20"/>
        </w:rPr>
        <w:t xml:space="preserve">test differential pressure meters </w:t>
      </w:r>
      <w:r>
        <w:rPr>
          <w:b/>
          <w:bCs/>
          <w:szCs w:val="20"/>
        </w:rPr>
        <w:t xml:space="preserve">both with natural gas/hydrogen </w:t>
      </w:r>
      <w:r w:rsidR="002F55D8">
        <w:rPr>
          <w:b/>
          <w:bCs/>
          <w:szCs w:val="20"/>
        </w:rPr>
        <w:t>blends</w:t>
      </w:r>
      <w:r>
        <w:rPr>
          <w:b/>
          <w:bCs/>
          <w:szCs w:val="20"/>
        </w:rPr>
        <w:t xml:space="preserve"> and with 100 % hydrogen. </w:t>
      </w:r>
    </w:p>
    <w:p w14:paraId="055924D0" w14:textId="77777777" w:rsidR="00B75BE6" w:rsidRPr="00C50AAB" w:rsidRDefault="00B75BE6" w:rsidP="00B75BE6">
      <w:pPr>
        <w:pStyle w:val="ListParagraph"/>
        <w:numPr>
          <w:ilvl w:val="0"/>
          <w:numId w:val="24"/>
        </w:numPr>
        <w:jc w:val="both"/>
        <w:rPr>
          <w:rFonts w:cstheme="minorHAnsi"/>
          <w:b/>
          <w:bCs/>
          <w:szCs w:val="20"/>
        </w:rPr>
      </w:pPr>
      <w:proofErr w:type="spellStart"/>
      <w:r w:rsidRPr="00DF64FE">
        <w:rPr>
          <w:rFonts w:asciiTheme="minorHAnsi" w:hAnsiTheme="minorHAnsi" w:cstheme="minorHAnsi"/>
          <w:szCs w:val="20"/>
        </w:rPr>
        <w:t>Domestic</w:t>
      </w:r>
      <w:proofErr w:type="spellEnd"/>
      <w:r w:rsidRPr="00DF64FE">
        <w:rPr>
          <w:rFonts w:asciiTheme="minorHAnsi" w:hAnsiTheme="minorHAnsi" w:cstheme="minorHAnsi"/>
          <w:szCs w:val="20"/>
        </w:rPr>
        <w:t xml:space="preserve"> </w:t>
      </w:r>
      <w:proofErr w:type="spellStart"/>
      <w:r w:rsidRPr="00DF64FE">
        <w:rPr>
          <w:rFonts w:asciiTheme="minorHAnsi" w:hAnsiTheme="minorHAnsi" w:cstheme="minorHAnsi"/>
          <w:szCs w:val="20"/>
        </w:rPr>
        <w:t>flow</w:t>
      </w:r>
      <w:proofErr w:type="spellEnd"/>
      <w:r w:rsidRPr="00DF64FE">
        <w:rPr>
          <w:rFonts w:asciiTheme="minorHAnsi" w:hAnsiTheme="minorHAnsi" w:cstheme="minorHAnsi"/>
          <w:szCs w:val="20"/>
        </w:rPr>
        <w:t xml:space="preserve"> </w:t>
      </w:r>
      <w:proofErr w:type="spellStart"/>
      <w:r w:rsidRPr="00DF64FE">
        <w:rPr>
          <w:rFonts w:asciiTheme="minorHAnsi" w:hAnsiTheme="minorHAnsi" w:cstheme="minorHAnsi"/>
          <w:szCs w:val="20"/>
        </w:rPr>
        <w:t>meters</w:t>
      </w:r>
      <w:proofErr w:type="spellEnd"/>
      <w:r w:rsidRPr="00DF64FE">
        <w:rPr>
          <w:rFonts w:asciiTheme="minorHAnsi" w:hAnsiTheme="minorHAnsi" w:cstheme="minorHAnsi"/>
          <w:szCs w:val="20"/>
        </w:rPr>
        <w:t>:</w:t>
      </w:r>
      <w:r w:rsidRPr="00DF64FE">
        <w:rPr>
          <w:rFonts w:asciiTheme="minorHAnsi" w:hAnsiTheme="minorHAnsi" w:cstheme="minorHAnsi"/>
          <w:b/>
          <w:bCs/>
          <w:szCs w:val="20"/>
        </w:rPr>
        <w:t xml:space="preserve"> </w:t>
      </w:r>
    </w:p>
    <w:p w14:paraId="41B44D50" w14:textId="77777777" w:rsidR="00C50AAB" w:rsidRPr="00002A00" w:rsidRDefault="00C50AAB" w:rsidP="00C50AAB">
      <w:pPr>
        <w:pStyle w:val="ListParagraph"/>
        <w:jc w:val="both"/>
        <w:rPr>
          <w:rFonts w:cstheme="minorHAnsi"/>
          <w:b/>
          <w:bCs/>
          <w:szCs w:val="20"/>
        </w:rPr>
      </w:pPr>
    </w:p>
    <w:p w14:paraId="47E5E27B" w14:textId="77777777" w:rsidR="00B75BE6" w:rsidRDefault="00B75BE6" w:rsidP="00B75BE6">
      <w:pPr>
        <w:jc w:val="both"/>
        <w:rPr>
          <w:szCs w:val="20"/>
        </w:rPr>
      </w:pPr>
      <w:r w:rsidRPr="006C19B8">
        <w:rPr>
          <w:szCs w:val="20"/>
        </w:rPr>
        <w:t xml:space="preserve">The studies available in the literature show that diaphragm meters generally perform within the Maximum Permissible Error limits with hydrogen-enriched natural gas blends (up to 20 % hydrogen). Methane and blends result generally agree within 0.3 %, and the differences are primarily observed at low flow rates less than 10 % of </w:t>
      </w:r>
      <w:proofErr w:type="spellStart"/>
      <w:r w:rsidRPr="006C19B8">
        <w:rPr>
          <w:szCs w:val="20"/>
        </w:rPr>
        <w:t>Qmax</w:t>
      </w:r>
      <w:proofErr w:type="spellEnd"/>
      <w:r w:rsidRPr="006C19B8">
        <w:rPr>
          <w:szCs w:val="20"/>
        </w:rPr>
        <w:t>. Instead, for ultrasonic meters the response depends on the meter type/vendor. Errors outside MPE limits are possible for ultrasonic meters and discrepancies between methane and blends result are generally greater than for diaphragm meters. There are indications that the discrepancy between methane and blends results decreases by decreasing the hydrogen concentration, with performance considerably increasing below a certain hydrogen concentration threshold. However, further investigation is required on this point. Thermal mass flow meter response is generally found within the MPE limits.</w:t>
      </w:r>
      <w:r>
        <w:rPr>
          <w:szCs w:val="20"/>
        </w:rPr>
        <w:t xml:space="preserve"> For all the meters technologies there is a lack of test results above 20 % hydrogen and with 100 % hydrogen.  </w:t>
      </w:r>
    </w:p>
    <w:p w14:paraId="592E6062" w14:textId="77777777" w:rsidR="00B75BE6" w:rsidRPr="00581642" w:rsidRDefault="00B75BE6" w:rsidP="00B75BE6">
      <w:pPr>
        <w:jc w:val="both"/>
        <w:rPr>
          <w:b/>
          <w:bCs/>
          <w:szCs w:val="20"/>
        </w:rPr>
      </w:pPr>
      <w:r w:rsidRPr="00581642">
        <w:rPr>
          <w:b/>
          <w:bCs/>
          <w:szCs w:val="20"/>
        </w:rPr>
        <w:t xml:space="preserve">It is concluded that </w:t>
      </w:r>
      <w:r>
        <w:rPr>
          <w:b/>
          <w:bCs/>
          <w:szCs w:val="20"/>
        </w:rPr>
        <w:t xml:space="preserve">it </w:t>
      </w:r>
      <w:r w:rsidRPr="00581642">
        <w:rPr>
          <w:b/>
          <w:bCs/>
          <w:szCs w:val="20"/>
        </w:rPr>
        <w:t xml:space="preserve">would be </w:t>
      </w:r>
      <w:r>
        <w:rPr>
          <w:b/>
          <w:bCs/>
          <w:szCs w:val="20"/>
        </w:rPr>
        <w:t xml:space="preserve">of interest to conduct tests of domestic gas meters with 100 % hydrogen </w:t>
      </w:r>
      <w:r w:rsidRPr="00581642">
        <w:rPr>
          <w:b/>
          <w:bCs/>
          <w:szCs w:val="20"/>
        </w:rPr>
        <w:t>as part of Work Package (WP) 1 ‘Flow Metering’ of the EMPIR Metrology for Decarbonising the Gas Grid project (Decarb project)</w:t>
      </w:r>
      <w:r>
        <w:rPr>
          <w:b/>
          <w:bCs/>
          <w:szCs w:val="20"/>
        </w:rPr>
        <w:t xml:space="preserve">. It is also </w:t>
      </w:r>
      <w:r w:rsidRPr="00581642">
        <w:rPr>
          <w:b/>
          <w:bCs/>
          <w:szCs w:val="20"/>
        </w:rPr>
        <w:t>interesting to further test ultrasonic meters and the influence of varying the hydrogen concentration on their performance</w:t>
      </w:r>
      <w:r>
        <w:rPr>
          <w:b/>
          <w:bCs/>
          <w:szCs w:val="20"/>
        </w:rPr>
        <w:t>.</w:t>
      </w:r>
    </w:p>
    <w:p w14:paraId="5F066911" w14:textId="63346611" w:rsidR="00307B3E" w:rsidRDefault="00307B3E" w:rsidP="00B75BE6">
      <w:pPr>
        <w:jc w:val="both"/>
      </w:pPr>
    </w:p>
    <w:p w14:paraId="6C1392D9" w14:textId="45F5806C" w:rsidR="00422D1F" w:rsidRDefault="00422D1F" w:rsidP="00F668C6">
      <w:pPr>
        <w:jc w:val="both"/>
      </w:pPr>
    </w:p>
    <w:p w14:paraId="764C9728" w14:textId="734FD742" w:rsidR="00422D1F" w:rsidRDefault="00422D1F" w:rsidP="00F668C6">
      <w:pPr>
        <w:jc w:val="both"/>
      </w:pPr>
    </w:p>
    <w:p w14:paraId="5901F763" w14:textId="3B7C66E8" w:rsidR="00422D1F" w:rsidRDefault="00422D1F" w:rsidP="00F668C6">
      <w:pPr>
        <w:jc w:val="both"/>
      </w:pPr>
    </w:p>
    <w:p w14:paraId="2E84B93C" w14:textId="34C2FC4D" w:rsidR="00422D1F" w:rsidRDefault="00422D1F" w:rsidP="00F668C6">
      <w:pPr>
        <w:jc w:val="both"/>
      </w:pPr>
    </w:p>
    <w:p w14:paraId="45F1221E" w14:textId="4EB6C625" w:rsidR="00422D1F" w:rsidRDefault="00422D1F" w:rsidP="00F668C6">
      <w:pPr>
        <w:jc w:val="both"/>
      </w:pPr>
    </w:p>
    <w:p w14:paraId="0685E179" w14:textId="0C0427E6" w:rsidR="00422D1F" w:rsidRDefault="00422D1F" w:rsidP="00F668C6">
      <w:pPr>
        <w:jc w:val="both"/>
      </w:pPr>
    </w:p>
    <w:p w14:paraId="167B4C71" w14:textId="66803241" w:rsidR="00422D1F" w:rsidRDefault="001614C0" w:rsidP="00F668C6">
      <w:pPr>
        <w:pStyle w:val="Heading1"/>
        <w:jc w:val="both"/>
      </w:pPr>
      <w:bookmarkStart w:id="5" w:name="_Toc121830926"/>
      <w:r>
        <w:t xml:space="preserve">1. </w:t>
      </w:r>
      <w:r w:rsidR="00746E8D">
        <w:t>INTRODUCTION</w:t>
      </w:r>
      <w:bookmarkEnd w:id="5"/>
      <w:r w:rsidR="00746E8D">
        <w:t xml:space="preserve"> </w:t>
      </w:r>
      <w:r w:rsidR="00422D1F">
        <w:t xml:space="preserve"> </w:t>
      </w:r>
    </w:p>
    <w:p w14:paraId="4FCA50CD" w14:textId="77777777" w:rsidR="00A11429" w:rsidRDefault="00A11429" w:rsidP="00F668C6">
      <w:pPr>
        <w:spacing w:line="276" w:lineRule="auto"/>
        <w:jc w:val="both"/>
      </w:pPr>
      <w:bookmarkStart w:id="6" w:name="_Hlk97027028"/>
    </w:p>
    <w:p w14:paraId="002D1298" w14:textId="480DAD9E" w:rsidR="00AD572C" w:rsidRDefault="00422D1F" w:rsidP="00F668C6">
      <w:pPr>
        <w:spacing w:line="276" w:lineRule="auto"/>
        <w:jc w:val="both"/>
        <w:rPr>
          <w:rFonts w:cs="Calibri"/>
        </w:rPr>
      </w:pPr>
      <w:r>
        <w:rPr>
          <w:rFonts w:cs="Calibri"/>
        </w:rPr>
        <w:t>In Europe, a mature developed and regulated gas infrastructure is already in place. The EU gas network can transport and store large quantities of energy, being constituted by more than 200,000 km of transmission pipelines (</w:t>
      </w:r>
      <w:r>
        <w:fldChar w:fldCharType="begin"/>
      </w:r>
      <w:r>
        <w:rPr>
          <w:rFonts w:cs="Calibri"/>
        </w:rPr>
        <w:instrText xml:space="preserve"> REF _Ref96680743 \h  \* MERGEFORMAT </w:instrText>
      </w:r>
      <w:r>
        <w:fldChar w:fldCharType="separate"/>
      </w:r>
      <w:r w:rsidR="00B34B98" w:rsidRPr="00B34B98">
        <w:rPr>
          <w:b/>
          <w:color w:val="007AAE"/>
        </w:rPr>
        <w:t xml:space="preserve">Figure </w:t>
      </w:r>
      <w:r w:rsidR="00B34B98" w:rsidRPr="00B34B98">
        <w:rPr>
          <w:b/>
          <w:noProof/>
          <w:color w:val="007AAE"/>
        </w:rPr>
        <w:t>1</w:t>
      </w:r>
      <w:r>
        <w:fldChar w:fldCharType="end"/>
      </w:r>
      <w:r>
        <w:rPr>
          <w:rFonts w:cs="Calibri"/>
        </w:rPr>
        <w:t>), over 2 million km of distribution network, and over 20,000 compressor and pressure reduction stations</w:t>
      </w:r>
      <w:r w:rsidRPr="00F151FD">
        <w:rPr>
          <w:rStyle w:val="FootnoteReference"/>
        </w:rPr>
        <w:footnoteReference w:id="1"/>
      </w:r>
      <w:r>
        <w:rPr>
          <w:rFonts w:cs="Calibri"/>
        </w:rPr>
        <w:t xml:space="preserve"> (around 9,500 MW of compressor stations). The value of the total infrastructure investments is approximately 65 billion Euros in EU transmission system Operators’ regulated asset bases. Distribution assets add to that figure at least by a factor of 3.</w:t>
      </w:r>
    </w:p>
    <w:p w14:paraId="1E916942" w14:textId="3FE7E17D" w:rsidR="00422D1F" w:rsidRDefault="00422D1F" w:rsidP="00442AC5">
      <w:pPr>
        <w:keepNext/>
        <w:spacing w:line="276" w:lineRule="auto"/>
        <w:jc w:val="center"/>
        <w:rPr>
          <w:rFonts w:cs="Times New Roman"/>
          <w:lang w:val="es-ES"/>
        </w:rPr>
      </w:pPr>
      <w:r>
        <w:rPr>
          <w:noProof/>
        </w:rPr>
        <w:drawing>
          <wp:inline distT="0" distB="0" distL="0" distR="0" wp14:anchorId="63E54F33" wp14:editId="3737846A">
            <wp:extent cx="3350623" cy="2481943"/>
            <wp:effectExtent l="0" t="0" r="254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54074" cy="2484499"/>
                    </a:xfrm>
                    <a:prstGeom prst="rect">
                      <a:avLst/>
                    </a:prstGeom>
                    <a:noFill/>
                    <a:ln>
                      <a:noFill/>
                    </a:ln>
                  </pic:spPr>
                </pic:pic>
              </a:graphicData>
            </a:graphic>
          </wp:inline>
        </w:drawing>
      </w:r>
    </w:p>
    <w:p w14:paraId="4B7FD554" w14:textId="7E354D07" w:rsidR="00422D1F" w:rsidRDefault="00422D1F" w:rsidP="00442AC5">
      <w:pPr>
        <w:spacing w:before="120" w:line="276" w:lineRule="auto"/>
        <w:ind w:left="2552" w:right="1134" w:hanging="1418"/>
        <w:jc w:val="center"/>
        <w:rPr>
          <w:sz w:val="18"/>
          <w:szCs w:val="18"/>
        </w:rPr>
      </w:pPr>
      <w:bookmarkStart w:id="8" w:name="_Ref96680743"/>
      <w:bookmarkStart w:id="9" w:name="_Ref96680738"/>
      <w:r>
        <w:rPr>
          <w:b/>
          <w:color w:val="007AAE"/>
          <w:sz w:val="18"/>
          <w:szCs w:val="18"/>
        </w:rPr>
        <w:t xml:space="preserve">Figure </w:t>
      </w:r>
      <w:r>
        <w:fldChar w:fldCharType="begin"/>
      </w:r>
      <w:r>
        <w:rPr>
          <w:b/>
          <w:color w:val="007AAE"/>
          <w:sz w:val="18"/>
          <w:szCs w:val="18"/>
        </w:rPr>
        <w:instrText xml:space="preserve"> SEQ Figure \* ARABIC </w:instrText>
      </w:r>
      <w:r>
        <w:fldChar w:fldCharType="separate"/>
      </w:r>
      <w:r w:rsidR="00EF1E54">
        <w:rPr>
          <w:b/>
          <w:noProof/>
          <w:color w:val="007AAE"/>
          <w:sz w:val="18"/>
          <w:szCs w:val="18"/>
        </w:rPr>
        <w:t>1</w:t>
      </w:r>
      <w:r>
        <w:fldChar w:fldCharType="end"/>
      </w:r>
      <w:bookmarkEnd w:id="8"/>
      <w:r>
        <w:rPr>
          <w:bCs/>
          <w:sz w:val="18"/>
          <w:szCs w:val="18"/>
        </w:rPr>
        <w:t>.-</w:t>
      </w:r>
      <w:r>
        <w:rPr>
          <w:sz w:val="18"/>
          <w:szCs w:val="18"/>
        </w:rPr>
        <w:t xml:space="preserve">Transmission length </w:t>
      </w:r>
      <w:r w:rsidR="00010153">
        <w:rPr>
          <w:sz w:val="18"/>
          <w:szCs w:val="18"/>
        </w:rPr>
        <w:t>across Europe</w:t>
      </w:r>
      <w:r>
        <w:rPr>
          <w:sz w:val="18"/>
          <w:szCs w:val="18"/>
        </w:rPr>
        <w:t xml:space="preserve"> in km </w:t>
      </w:r>
      <w:r w:rsidR="00AB3CFC">
        <w:rPr>
          <w:sz w:val="18"/>
          <w:szCs w:val="18"/>
        </w:rPr>
        <w:t xml:space="preserve">for year </w:t>
      </w:r>
      <w:r>
        <w:rPr>
          <w:sz w:val="18"/>
          <w:szCs w:val="18"/>
        </w:rPr>
        <w:t xml:space="preserve">2020. </w:t>
      </w:r>
      <w:bookmarkEnd w:id="9"/>
      <w:r>
        <w:fldChar w:fldCharType="begin"/>
      </w:r>
      <w:r>
        <w:rPr>
          <w:b/>
          <w:bCs/>
          <w:color w:val="007AAE"/>
          <w:sz w:val="18"/>
          <w:szCs w:val="18"/>
        </w:rPr>
        <w:instrText xml:space="preserve"> REF _Ref96683042 \r \h  \* MERGEFORMAT </w:instrText>
      </w:r>
      <w:r>
        <w:fldChar w:fldCharType="separate"/>
      </w:r>
      <w:r>
        <w:rPr>
          <w:b/>
          <w:bCs/>
          <w:color w:val="007AAE"/>
          <w:sz w:val="18"/>
          <w:szCs w:val="18"/>
        </w:rPr>
        <w:t>[1]</w:t>
      </w:r>
      <w:r>
        <w:fldChar w:fldCharType="end"/>
      </w:r>
    </w:p>
    <w:p w14:paraId="257A8D30" w14:textId="4EFAEA2B" w:rsidR="00422D1F" w:rsidRDefault="00422D1F" w:rsidP="00F668C6">
      <w:pPr>
        <w:spacing w:line="276" w:lineRule="auto"/>
        <w:jc w:val="both"/>
        <w:rPr>
          <w:rFonts w:cs="Calibri"/>
        </w:rPr>
      </w:pPr>
      <w:r>
        <w:rPr>
          <w:rFonts w:cs="Calibri"/>
        </w:rPr>
        <w:t>The resilience of the EU gas system has increased significantly in recent years following regulatory initiatives (Network Codes, reverse flows, etc.) and relevant infrastructure investments that have contributed to diversifying the origins of supply. An efficient internal gas market based on the progression of liquid hubs is the best guarantee of the security of gas supply across the Union.</w:t>
      </w:r>
    </w:p>
    <w:p w14:paraId="03EBD9A2" w14:textId="77777777" w:rsidR="00422D1F" w:rsidRDefault="00422D1F" w:rsidP="00F668C6">
      <w:pPr>
        <w:spacing w:line="276" w:lineRule="auto"/>
        <w:jc w:val="both"/>
        <w:rPr>
          <w:rFonts w:cs="Calibri"/>
        </w:rPr>
      </w:pPr>
      <w:r>
        <w:rPr>
          <w:rFonts w:cs="Calibri"/>
        </w:rPr>
        <w:t>Gas represents 21.5 % of the EU’s primary energy consumption, being the dominant source of energy for households (32.1 %) as around 40 % of homes are connected to the gas network. The residential sector accounts for most EU gas demand (40 %), followed by industry and gas use for power generation. Industry consumption has declined by 20 % since 2000, whereas gas used for power generation has risen by 15 % in the same period. These trends are due to the EU’s economic transition from industry to energy services and structural changes in the energy-intensive industry. The EU imports 80 % of its total gas needs.</w:t>
      </w:r>
    </w:p>
    <w:p w14:paraId="116ADFA5" w14:textId="77777777" w:rsidR="00422D1F" w:rsidRDefault="00422D1F" w:rsidP="00F668C6">
      <w:pPr>
        <w:spacing w:line="276" w:lineRule="auto"/>
        <w:jc w:val="both"/>
        <w:rPr>
          <w:rFonts w:cs="Calibri"/>
        </w:rPr>
      </w:pPr>
      <w:r>
        <w:rPr>
          <w:rFonts w:cs="Calibri"/>
        </w:rPr>
        <w:t>The European Green Deal aims to fully decarbonise the gas sector by 2050, accounting for a quarter of the EU’s greenhouse gas emissions in 2020. To meet the decarbonisation targets, the EU aims to shift into low carbon gases whilst reducing its total gas consumption. Biogas/biomethane and hydrogen will play the leading role. In 2020, 4 % of total consumed gas in the EU-27 plus UK was low carbon gas, mainly biogas/biomethane.</w:t>
      </w:r>
    </w:p>
    <w:p w14:paraId="7B0DA36D" w14:textId="5237DE78" w:rsidR="00422D1F" w:rsidRDefault="00422D1F" w:rsidP="00F668C6">
      <w:pPr>
        <w:spacing w:line="276" w:lineRule="auto"/>
        <w:jc w:val="both"/>
        <w:rPr>
          <w:rFonts w:cs="Calibri"/>
        </w:rPr>
      </w:pPr>
      <w:r>
        <w:rPr>
          <w:rFonts w:cs="Calibri"/>
        </w:rPr>
        <w:lastRenderedPageBreak/>
        <w:t>Hydrogen has become the central element in the plans to decarbonise the sector. National Energy and Climate Plans</w:t>
      </w:r>
      <w:r w:rsidR="009A0813" w:rsidRPr="009A0813">
        <w:rPr>
          <w:rFonts w:cs="Calibri"/>
          <w:vertAlign w:val="superscript"/>
        </w:rPr>
        <w:t>2</w:t>
      </w:r>
      <w:r w:rsidR="009A0813">
        <w:rPr>
          <w:rFonts w:cs="Calibri"/>
        </w:rPr>
        <w:t xml:space="preserve"> </w:t>
      </w:r>
      <w:r>
        <w:rPr>
          <w:rFonts w:cs="Calibri"/>
        </w:rPr>
        <w:t xml:space="preserve">and the European Commission strategy have committed to installing 40 GW of electrolysers by 2030. Low carbon gases account for more than 15 % of gas consumption by then. The major challenge is </w:t>
      </w:r>
      <w:r w:rsidR="005922C3">
        <w:rPr>
          <w:rFonts w:cs="Calibri"/>
        </w:rPr>
        <w:t xml:space="preserve">to </w:t>
      </w:r>
      <w:r>
        <w:rPr>
          <w:rFonts w:cs="Calibri"/>
        </w:rPr>
        <w:t>reduc</w:t>
      </w:r>
      <w:r w:rsidR="005922C3">
        <w:rPr>
          <w:rFonts w:cs="Calibri"/>
        </w:rPr>
        <w:t>e</w:t>
      </w:r>
      <w:r>
        <w:rPr>
          <w:rFonts w:cs="Calibri"/>
        </w:rPr>
        <w:t xml:space="preserve"> the </w:t>
      </w:r>
      <w:r w:rsidR="005922C3">
        <w:rPr>
          <w:rFonts w:cs="Calibri"/>
        </w:rPr>
        <w:t xml:space="preserve">current </w:t>
      </w:r>
      <w:r>
        <w:rPr>
          <w:rFonts w:cs="Calibri"/>
        </w:rPr>
        <w:t xml:space="preserve">low carbon gas price gap, making it at least three times </w:t>
      </w:r>
      <w:r w:rsidR="007E7F09">
        <w:rPr>
          <w:rFonts w:cs="Calibri"/>
        </w:rPr>
        <w:t>more expensive</w:t>
      </w:r>
      <w:r>
        <w:rPr>
          <w:rFonts w:cs="Calibri"/>
        </w:rPr>
        <w:t xml:space="preserve"> than conventional gas.</w:t>
      </w:r>
    </w:p>
    <w:bookmarkEnd w:id="6"/>
    <w:p w14:paraId="1BF340D8" w14:textId="036A2417" w:rsidR="00422D1F" w:rsidRDefault="00422D1F" w:rsidP="00F668C6">
      <w:pPr>
        <w:spacing w:line="276" w:lineRule="auto"/>
        <w:jc w:val="both"/>
        <w:rPr>
          <w:rFonts w:cs="Calibri"/>
        </w:rPr>
      </w:pPr>
      <w:r>
        <w:rPr>
          <w:rFonts w:cs="Calibri"/>
        </w:rPr>
        <w:t xml:space="preserve">European gas networks will require adaptation and new investments to enable the low carbon shift. Many projects have been developed or are ongoing for analysing the impact of hydrogen into the existing gas grid and the required adaptations for the hydrogen concentrations predicted in the short, </w:t>
      </w:r>
      <w:proofErr w:type="gramStart"/>
      <w:r>
        <w:rPr>
          <w:rFonts w:cs="Calibri"/>
        </w:rPr>
        <w:t>mid</w:t>
      </w:r>
      <w:proofErr w:type="gramEnd"/>
      <w:r>
        <w:rPr>
          <w:rFonts w:cs="Calibri"/>
        </w:rPr>
        <w:t xml:space="preserve"> and long-term (a selection is included in</w:t>
      </w:r>
      <w:r w:rsidR="000D0426">
        <w:rPr>
          <w:rFonts w:cs="Calibri"/>
        </w:rPr>
        <w:t xml:space="preserve"> </w:t>
      </w:r>
      <w:r w:rsidR="000D0426" w:rsidRPr="000D0426">
        <w:rPr>
          <w:rFonts w:cs="Calibri"/>
          <w:b/>
          <w:bCs/>
          <w:color w:val="007AAE"/>
        </w:rPr>
        <w:t>Section 3.3</w:t>
      </w:r>
      <w:r>
        <w:rPr>
          <w:rFonts w:cs="Calibri"/>
        </w:rPr>
        <w:t xml:space="preserve">). </w:t>
      </w:r>
      <w:r w:rsidR="000D0426">
        <w:rPr>
          <w:rFonts w:cs="Calibri"/>
        </w:rPr>
        <w:t xml:space="preserve">The </w:t>
      </w:r>
      <w:r w:rsidR="000D0426" w:rsidRPr="000D0426">
        <w:rPr>
          <w:rFonts w:cs="Calibri"/>
        </w:rPr>
        <w:t xml:space="preserve">EMPIR Metrology for Decarbonising the Gas Grid project </w:t>
      </w:r>
      <w:r w:rsidR="000D0426">
        <w:rPr>
          <w:rFonts w:cs="Calibri"/>
        </w:rPr>
        <w:t>(</w:t>
      </w:r>
      <w:r>
        <w:rPr>
          <w:rFonts w:cs="Calibri"/>
        </w:rPr>
        <w:t>Decarb project</w:t>
      </w:r>
      <w:r w:rsidR="000D0426">
        <w:rPr>
          <w:rFonts w:cs="Calibri"/>
        </w:rPr>
        <w:t>)</w:t>
      </w:r>
      <w:r>
        <w:rPr>
          <w:rFonts w:cs="Calibri"/>
        </w:rPr>
        <w:t xml:space="preserve"> focuses on the metrological aspects, with the following objectives:</w:t>
      </w:r>
    </w:p>
    <w:p w14:paraId="5E0B6859" w14:textId="77777777" w:rsidR="00422D1F" w:rsidRPr="00F934E4" w:rsidRDefault="00422D1F" w:rsidP="00F668C6">
      <w:pPr>
        <w:pStyle w:val="ListParagraph"/>
        <w:numPr>
          <w:ilvl w:val="0"/>
          <w:numId w:val="2"/>
        </w:numPr>
        <w:spacing w:before="60" w:line="276" w:lineRule="auto"/>
        <w:ind w:left="811" w:hanging="357"/>
        <w:jc w:val="both"/>
        <w:rPr>
          <w:rFonts w:asciiTheme="minorHAnsi" w:hAnsiTheme="minorHAnsi" w:cstheme="minorHAnsi"/>
          <w:lang w:val="en-GB"/>
        </w:rPr>
      </w:pPr>
      <w:r w:rsidRPr="00F934E4">
        <w:rPr>
          <w:rFonts w:asciiTheme="minorHAnsi" w:hAnsiTheme="minorHAnsi" w:cstheme="minorHAnsi"/>
          <w:lang w:val="en-GB"/>
        </w:rPr>
        <w:t>Flow metering. To develop metrology infrastructure to support new flow metering requirements for pure hydrogen and hydrogen-enriched natural gas in the gas grid and metering carbon dioxide in Carbon Capture and Storage (CCS) processes.</w:t>
      </w:r>
    </w:p>
    <w:p w14:paraId="76AEFBEA" w14:textId="77777777" w:rsidR="00422D1F" w:rsidRPr="00F934E4" w:rsidRDefault="00422D1F" w:rsidP="00F668C6">
      <w:pPr>
        <w:pStyle w:val="ListParagraph"/>
        <w:numPr>
          <w:ilvl w:val="0"/>
          <w:numId w:val="2"/>
        </w:numPr>
        <w:spacing w:before="60" w:line="276" w:lineRule="auto"/>
        <w:ind w:left="811" w:hanging="357"/>
        <w:jc w:val="both"/>
        <w:rPr>
          <w:rFonts w:asciiTheme="minorHAnsi" w:hAnsiTheme="minorHAnsi" w:cstheme="minorHAnsi"/>
          <w:lang w:val="en-GB"/>
        </w:rPr>
      </w:pPr>
      <w:r w:rsidRPr="00F934E4">
        <w:rPr>
          <w:rFonts w:asciiTheme="minorHAnsi" w:hAnsiTheme="minorHAnsi" w:cstheme="minorHAnsi"/>
          <w:lang w:val="en-GB"/>
        </w:rPr>
        <w:t>Gas composition. To develop new primary reference materials and gas analysis methods to support the gas industry in performing gas quality measurements for pure hydrogen, biomethane and hydrogen-enriched natural gas, and purity analysis of carbon dioxide for CCS processes.</w:t>
      </w:r>
    </w:p>
    <w:p w14:paraId="32033B31" w14:textId="77777777" w:rsidR="00422D1F" w:rsidRPr="00F934E4" w:rsidRDefault="00422D1F" w:rsidP="00F668C6">
      <w:pPr>
        <w:pStyle w:val="ListParagraph"/>
        <w:numPr>
          <w:ilvl w:val="0"/>
          <w:numId w:val="2"/>
        </w:numPr>
        <w:spacing w:before="60" w:line="276" w:lineRule="auto"/>
        <w:ind w:left="811" w:hanging="357"/>
        <w:jc w:val="both"/>
        <w:rPr>
          <w:rFonts w:asciiTheme="minorHAnsi" w:hAnsiTheme="minorHAnsi" w:cstheme="minorHAnsi"/>
          <w:lang w:val="en-GB"/>
        </w:rPr>
      </w:pPr>
      <w:r w:rsidRPr="00F934E4">
        <w:rPr>
          <w:rFonts w:asciiTheme="minorHAnsi" w:hAnsiTheme="minorHAnsi" w:cstheme="minorHAnsi"/>
          <w:lang w:val="en-GB"/>
        </w:rPr>
        <w:t>Physical properties. To develop metrology infrastructure to support measurement of physical properties for hydrogen-enriched natural gas. Multiphase properties of mixtures composed of high levels of impurities in carbon dioxide will also be validated.</w:t>
      </w:r>
    </w:p>
    <w:p w14:paraId="410291F4" w14:textId="77777777" w:rsidR="00422D1F" w:rsidRPr="00F934E4" w:rsidRDefault="00422D1F" w:rsidP="00F668C6">
      <w:pPr>
        <w:pStyle w:val="ListParagraph"/>
        <w:numPr>
          <w:ilvl w:val="0"/>
          <w:numId w:val="2"/>
        </w:numPr>
        <w:spacing w:before="60" w:line="276" w:lineRule="auto"/>
        <w:ind w:left="811" w:hanging="357"/>
        <w:jc w:val="both"/>
        <w:rPr>
          <w:rFonts w:asciiTheme="minorHAnsi" w:hAnsiTheme="minorHAnsi" w:cstheme="minorHAnsi"/>
          <w:lang w:val="en-GB"/>
        </w:rPr>
      </w:pPr>
      <w:r w:rsidRPr="00F934E4">
        <w:rPr>
          <w:rFonts w:asciiTheme="minorHAnsi" w:hAnsiTheme="minorHAnsi" w:cstheme="minorHAnsi"/>
          <w:lang w:val="en-GB"/>
        </w:rPr>
        <w:t>Leak detection. To develop metrology infrastructure to support new leak detection requirements for decarbonising the gas grid and carbon dioxide leak from pipelines or underground storage in CCS processes.</w:t>
      </w:r>
    </w:p>
    <w:p w14:paraId="1AA61E9A" w14:textId="77777777" w:rsidR="00422D1F" w:rsidRDefault="00422D1F" w:rsidP="00F668C6">
      <w:pPr>
        <w:spacing w:line="276" w:lineRule="auto"/>
        <w:ind w:left="454"/>
        <w:jc w:val="both"/>
        <w:rPr>
          <w:rFonts w:cs="Calibri"/>
        </w:rPr>
      </w:pPr>
    </w:p>
    <w:p w14:paraId="06B588A2" w14:textId="06D2A05E" w:rsidR="001614C0" w:rsidRPr="00F934E4" w:rsidRDefault="00422D1F" w:rsidP="00F668C6">
      <w:pPr>
        <w:spacing w:line="276" w:lineRule="auto"/>
        <w:jc w:val="both"/>
        <w:rPr>
          <w:rFonts w:cs="Calibri"/>
        </w:rPr>
      </w:pPr>
      <w:r>
        <w:rPr>
          <w:rFonts w:cs="Calibri"/>
        </w:rPr>
        <w:t xml:space="preserve">This report </w:t>
      </w:r>
      <w:r w:rsidR="000D0426">
        <w:rPr>
          <w:rFonts w:cs="Calibri"/>
        </w:rPr>
        <w:t xml:space="preserve">is part of the Flow metering objective, and its scope is described </w:t>
      </w:r>
      <w:r>
        <w:rPr>
          <w:rFonts w:cs="Calibri"/>
        </w:rPr>
        <w:t>in</w:t>
      </w:r>
      <w:r w:rsidR="000D0426">
        <w:rPr>
          <w:rFonts w:cs="Calibri"/>
          <w:b/>
          <w:bCs/>
          <w:color w:val="007AAE"/>
        </w:rPr>
        <w:t xml:space="preserve"> Section 2</w:t>
      </w:r>
      <w:r>
        <w:rPr>
          <w:rFonts w:cs="Calibri"/>
        </w:rPr>
        <w:t>.</w:t>
      </w:r>
    </w:p>
    <w:p w14:paraId="20CA9E7E" w14:textId="5AB1EE9B" w:rsidR="001614C0" w:rsidRDefault="001614C0" w:rsidP="00F668C6">
      <w:pPr>
        <w:pStyle w:val="Heading1"/>
        <w:jc w:val="both"/>
      </w:pPr>
      <w:bookmarkStart w:id="10" w:name="_Toc121830927"/>
      <w:r>
        <w:t>2. S</w:t>
      </w:r>
      <w:r w:rsidR="00746E8D">
        <w:t>COPE</w:t>
      </w:r>
      <w:bookmarkEnd w:id="10"/>
    </w:p>
    <w:p w14:paraId="43ABC529" w14:textId="718F9CD6" w:rsidR="001614C0" w:rsidRPr="00D67AD2" w:rsidRDefault="001614C0" w:rsidP="00F668C6">
      <w:pPr>
        <w:spacing w:line="276" w:lineRule="auto"/>
        <w:jc w:val="both"/>
        <w:rPr>
          <w:rFonts w:cs="Calibri"/>
        </w:rPr>
      </w:pPr>
      <w:r>
        <w:rPr>
          <w:rFonts w:cs="Calibri"/>
        </w:rPr>
        <w:t xml:space="preserve">This report </w:t>
      </w:r>
      <w:r w:rsidR="00F151FD">
        <w:rPr>
          <w:rFonts w:cs="Calibri"/>
        </w:rPr>
        <w:t>summarises</w:t>
      </w:r>
      <w:r>
        <w:rPr>
          <w:rFonts w:cs="Calibri"/>
        </w:rPr>
        <w:t xml:space="preserve"> the results of activit</w:t>
      </w:r>
      <w:r w:rsidR="00EF01F1">
        <w:rPr>
          <w:rFonts w:cs="Calibri"/>
        </w:rPr>
        <w:t>ies A1.1.1 and A1.1.2</w:t>
      </w:r>
      <w:r>
        <w:rPr>
          <w:rFonts w:cs="Calibri"/>
        </w:rPr>
        <w:t xml:space="preserve"> </w:t>
      </w:r>
      <w:r w:rsidR="00EF01F1">
        <w:rPr>
          <w:rFonts w:cs="Calibri"/>
        </w:rPr>
        <w:t xml:space="preserve">of </w:t>
      </w:r>
      <w:r w:rsidRPr="00D67AD2">
        <w:rPr>
          <w:rFonts w:cs="Calibri"/>
        </w:rPr>
        <w:t>Task 1.1</w:t>
      </w:r>
      <w:r>
        <w:rPr>
          <w:rFonts w:cs="Calibri"/>
        </w:rPr>
        <w:t xml:space="preserve"> ‘</w:t>
      </w:r>
      <w:r w:rsidRPr="00D67AD2">
        <w:rPr>
          <w:rFonts w:cs="Calibri"/>
        </w:rPr>
        <w:t>Understanding operating conditions for decarbonised gas grids</w:t>
      </w:r>
      <w:r>
        <w:rPr>
          <w:rFonts w:cs="Calibri"/>
        </w:rPr>
        <w:t>’ of Work Package</w:t>
      </w:r>
      <w:r w:rsidR="00D04D23">
        <w:rPr>
          <w:rFonts w:cs="Calibri"/>
        </w:rPr>
        <w:t xml:space="preserve"> (WP)</w:t>
      </w:r>
      <w:r>
        <w:rPr>
          <w:rFonts w:cs="Calibri"/>
        </w:rPr>
        <w:t xml:space="preserve"> 1 ‘Flow Metering’ of </w:t>
      </w:r>
      <w:r w:rsidR="00EF01F1">
        <w:rPr>
          <w:rFonts w:cs="Calibri"/>
        </w:rPr>
        <w:t xml:space="preserve">the </w:t>
      </w:r>
      <w:r w:rsidR="00EF01F1" w:rsidRPr="000D0426">
        <w:rPr>
          <w:rFonts w:cs="Calibri"/>
        </w:rPr>
        <w:t xml:space="preserve">EMPIR Metrology for Decarbonising the Gas Grid project </w:t>
      </w:r>
      <w:r w:rsidR="00EF01F1">
        <w:rPr>
          <w:rFonts w:cs="Calibri"/>
        </w:rPr>
        <w:t>(Decarb project)</w:t>
      </w:r>
      <w:r>
        <w:rPr>
          <w:rFonts w:cs="Calibri"/>
        </w:rPr>
        <w:t>.</w:t>
      </w:r>
    </w:p>
    <w:p w14:paraId="47B940DA" w14:textId="70B0AD76" w:rsidR="00EF01F1" w:rsidRDefault="001614C0" w:rsidP="00F668C6">
      <w:pPr>
        <w:spacing w:line="276" w:lineRule="auto"/>
        <w:jc w:val="both"/>
        <w:rPr>
          <w:rFonts w:cs="Calibri"/>
        </w:rPr>
      </w:pPr>
      <w:bookmarkStart w:id="11" w:name="_Hlk97027745"/>
      <w:r>
        <w:rPr>
          <w:rFonts w:cs="Calibri"/>
        </w:rPr>
        <w:t xml:space="preserve">The task </w:t>
      </w:r>
      <w:r w:rsidR="00EF01F1">
        <w:rPr>
          <w:rFonts w:cs="Calibri"/>
        </w:rPr>
        <w:t>aims w</w:t>
      </w:r>
      <w:r w:rsidR="00CF3F14">
        <w:rPr>
          <w:rFonts w:cs="Calibri"/>
        </w:rPr>
        <w:t>ere</w:t>
      </w:r>
      <w:r w:rsidRPr="00D67AD2">
        <w:rPr>
          <w:rFonts w:cs="Calibri"/>
        </w:rPr>
        <w:t xml:space="preserve"> to</w:t>
      </w:r>
      <w:r w:rsidR="00CF3F14">
        <w:rPr>
          <w:rFonts w:cs="Calibri"/>
        </w:rPr>
        <w:t xml:space="preserve"> collect knowledge</w:t>
      </w:r>
      <w:r w:rsidR="00EF01F1">
        <w:rPr>
          <w:rFonts w:cs="Calibri"/>
        </w:rPr>
        <w:t>:</w:t>
      </w:r>
    </w:p>
    <w:p w14:paraId="68638094" w14:textId="6C329153" w:rsidR="003C557A" w:rsidRPr="00BD6DD6" w:rsidRDefault="001614C0" w:rsidP="00EF01F1">
      <w:pPr>
        <w:pStyle w:val="ListParagraph"/>
        <w:numPr>
          <w:ilvl w:val="0"/>
          <w:numId w:val="15"/>
        </w:numPr>
        <w:spacing w:line="276" w:lineRule="auto"/>
        <w:jc w:val="both"/>
        <w:rPr>
          <w:rFonts w:asciiTheme="minorHAnsi" w:hAnsiTheme="minorHAnsi" w:cstheme="minorHAnsi"/>
          <w:lang w:val="en-GB"/>
        </w:rPr>
      </w:pPr>
      <w:r w:rsidRPr="00BD6DD6">
        <w:rPr>
          <w:rFonts w:asciiTheme="minorHAnsi" w:hAnsiTheme="minorHAnsi" w:cstheme="minorHAnsi"/>
          <w:lang w:val="en-GB"/>
        </w:rPr>
        <w:t>o</w:t>
      </w:r>
      <w:r w:rsidR="00D04D23" w:rsidRPr="00BD6DD6">
        <w:rPr>
          <w:rFonts w:asciiTheme="minorHAnsi" w:hAnsiTheme="minorHAnsi" w:cstheme="minorHAnsi"/>
          <w:lang w:val="en-GB"/>
        </w:rPr>
        <w:t>n</w:t>
      </w:r>
      <w:r w:rsidRPr="00BD6DD6">
        <w:rPr>
          <w:rFonts w:asciiTheme="minorHAnsi" w:hAnsiTheme="minorHAnsi" w:cstheme="minorHAnsi"/>
          <w:lang w:val="en-GB"/>
        </w:rPr>
        <w:t xml:space="preserve"> </w:t>
      </w:r>
      <w:r w:rsidRPr="00F151FD">
        <w:rPr>
          <w:rFonts w:asciiTheme="minorHAnsi" w:hAnsiTheme="minorHAnsi" w:cstheme="minorHAnsi"/>
          <w:lang w:val="en-GB"/>
        </w:rPr>
        <w:t>operating</w:t>
      </w:r>
      <w:r w:rsidRPr="00BD6DD6">
        <w:rPr>
          <w:rFonts w:asciiTheme="minorHAnsi" w:hAnsiTheme="minorHAnsi" w:cstheme="minorHAnsi"/>
          <w:lang w:val="en-GB"/>
        </w:rPr>
        <w:t xml:space="preserve"> ranges of gas grids </w:t>
      </w:r>
      <w:r w:rsidR="003C557A" w:rsidRPr="00BD6DD6">
        <w:rPr>
          <w:rFonts w:asciiTheme="minorHAnsi" w:hAnsiTheme="minorHAnsi" w:cstheme="minorHAnsi"/>
          <w:lang w:val="en-GB"/>
        </w:rPr>
        <w:t>across European countries</w:t>
      </w:r>
    </w:p>
    <w:p w14:paraId="2E0C0FD6" w14:textId="6AFE0167" w:rsidR="00EF01F1" w:rsidRPr="00BD6DD6" w:rsidRDefault="003C557A" w:rsidP="00EF01F1">
      <w:pPr>
        <w:pStyle w:val="ListParagraph"/>
        <w:numPr>
          <w:ilvl w:val="0"/>
          <w:numId w:val="15"/>
        </w:numPr>
        <w:spacing w:line="276" w:lineRule="auto"/>
        <w:jc w:val="both"/>
        <w:rPr>
          <w:rFonts w:asciiTheme="minorHAnsi" w:hAnsiTheme="minorHAnsi" w:cstheme="minorHAnsi"/>
          <w:lang w:val="en-GB"/>
        </w:rPr>
      </w:pPr>
      <w:r w:rsidRPr="00BD6DD6">
        <w:rPr>
          <w:rFonts w:asciiTheme="minorHAnsi" w:hAnsiTheme="minorHAnsi" w:cstheme="minorHAnsi"/>
          <w:lang w:val="en-GB"/>
        </w:rPr>
        <w:t xml:space="preserve">on </w:t>
      </w:r>
      <w:r w:rsidR="001614C0" w:rsidRPr="00BD6DD6">
        <w:rPr>
          <w:rFonts w:asciiTheme="minorHAnsi" w:hAnsiTheme="minorHAnsi" w:cstheme="minorHAnsi"/>
          <w:lang w:val="en-GB"/>
        </w:rPr>
        <w:t xml:space="preserve">plans for </w:t>
      </w:r>
      <w:r w:rsidR="00D04D23" w:rsidRPr="00BD6DD6">
        <w:rPr>
          <w:rFonts w:asciiTheme="minorHAnsi" w:hAnsiTheme="minorHAnsi" w:cstheme="minorHAnsi"/>
          <w:lang w:val="en-GB"/>
        </w:rPr>
        <w:t xml:space="preserve">gas grid </w:t>
      </w:r>
      <w:r w:rsidR="001614C0" w:rsidRPr="00BD6DD6">
        <w:rPr>
          <w:rFonts w:asciiTheme="minorHAnsi" w:hAnsiTheme="minorHAnsi" w:cstheme="minorHAnsi"/>
          <w:lang w:val="en-GB"/>
        </w:rPr>
        <w:t xml:space="preserve">decarbonisation across </w:t>
      </w:r>
      <w:r w:rsidR="00EF01F1" w:rsidRPr="00BD6DD6">
        <w:rPr>
          <w:rFonts w:asciiTheme="minorHAnsi" w:hAnsiTheme="minorHAnsi" w:cstheme="minorHAnsi"/>
          <w:lang w:val="en-GB"/>
        </w:rPr>
        <w:t xml:space="preserve">European </w:t>
      </w:r>
      <w:r w:rsidR="001614C0" w:rsidRPr="00BD6DD6">
        <w:rPr>
          <w:rFonts w:asciiTheme="minorHAnsi" w:hAnsiTheme="minorHAnsi" w:cstheme="minorHAnsi"/>
          <w:lang w:val="en-GB"/>
        </w:rPr>
        <w:t>countr</w:t>
      </w:r>
      <w:r w:rsidR="00CF3F14" w:rsidRPr="00BD6DD6">
        <w:rPr>
          <w:rFonts w:asciiTheme="minorHAnsi" w:hAnsiTheme="minorHAnsi" w:cstheme="minorHAnsi"/>
          <w:lang w:val="en-GB"/>
        </w:rPr>
        <w:t>ies</w:t>
      </w:r>
      <w:r w:rsidR="001614C0" w:rsidRPr="00BD6DD6">
        <w:rPr>
          <w:rFonts w:asciiTheme="minorHAnsi" w:hAnsiTheme="minorHAnsi" w:cstheme="minorHAnsi"/>
          <w:lang w:val="en-GB"/>
        </w:rPr>
        <w:t xml:space="preserve"> </w:t>
      </w:r>
    </w:p>
    <w:p w14:paraId="1676366B" w14:textId="74583EEB" w:rsidR="00CF3F14" w:rsidRPr="00BD6DD6" w:rsidRDefault="00CF3F14" w:rsidP="00EF01F1">
      <w:pPr>
        <w:pStyle w:val="ListParagraph"/>
        <w:numPr>
          <w:ilvl w:val="0"/>
          <w:numId w:val="15"/>
        </w:numPr>
        <w:spacing w:line="276" w:lineRule="auto"/>
        <w:jc w:val="both"/>
        <w:rPr>
          <w:rFonts w:asciiTheme="minorHAnsi" w:hAnsiTheme="minorHAnsi" w:cstheme="minorHAnsi"/>
          <w:lang w:val="en-GB"/>
        </w:rPr>
      </w:pPr>
      <w:r w:rsidRPr="00BD6DD6">
        <w:rPr>
          <w:rFonts w:asciiTheme="minorHAnsi" w:hAnsiTheme="minorHAnsi" w:cstheme="minorHAnsi"/>
          <w:lang w:val="en-GB"/>
        </w:rPr>
        <w:t>o</w:t>
      </w:r>
      <w:r w:rsidR="00D04D23" w:rsidRPr="00BD6DD6">
        <w:rPr>
          <w:rFonts w:asciiTheme="minorHAnsi" w:hAnsiTheme="minorHAnsi" w:cstheme="minorHAnsi"/>
          <w:lang w:val="en-GB"/>
        </w:rPr>
        <w:t>n</w:t>
      </w:r>
      <w:r w:rsidRPr="00BD6DD6">
        <w:rPr>
          <w:rFonts w:asciiTheme="minorHAnsi" w:hAnsiTheme="minorHAnsi" w:cstheme="minorHAnsi"/>
          <w:lang w:val="en-GB"/>
        </w:rPr>
        <w:t xml:space="preserve"> </w:t>
      </w:r>
      <w:r w:rsidR="007652D8" w:rsidRPr="00BD6DD6">
        <w:rPr>
          <w:rFonts w:asciiTheme="minorHAnsi" w:hAnsiTheme="minorHAnsi" w:cstheme="minorHAnsi"/>
          <w:lang w:val="en-GB"/>
        </w:rPr>
        <w:t xml:space="preserve">hydrogen </w:t>
      </w:r>
      <w:r w:rsidRPr="00BD6DD6">
        <w:rPr>
          <w:rFonts w:asciiTheme="minorHAnsi" w:hAnsiTheme="minorHAnsi" w:cstheme="minorHAnsi"/>
          <w:lang w:val="en-GB"/>
        </w:rPr>
        <w:t xml:space="preserve">and </w:t>
      </w:r>
      <w:r w:rsidR="007652D8" w:rsidRPr="00BD6DD6">
        <w:rPr>
          <w:rFonts w:asciiTheme="minorHAnsi" w:hAnsiTheme="minorHAnsi" w:cstheme="minorHAnsi"/>
          <w:lang w:val="en-GB"/>
        </w:rPr>
        <w:t>hydrogen</w:t>
      </w:r>
      <w:r w:rsidRPr="00BD6DD6">
        <w:rPr>
          <w:rFonts w:asciiTheme="minorHAnsi" w:hAnsiTheme="minorHAnsi" w:cstheme="minorHAnsi"/>
          <w:lang w:val="en-GB"/>
        </w:rPr>
        <w:t>/natural gas blends</w:t>
      </w:r>
      <w:r w:rsidR="00D04D23" w:rsidRPr="00BD6DD6">
        <w:rPr>
          <w:rFonts w:asciiTheme="minorHAnsi" w:hAnsiTheme="minorHAnsi" w:cstheme="minorHAnsi"/>
          <w:lang w:val="en-GB"/>
        </w:rPr>
        <w:t xml:space="preserve"> flow metering technologies </w:t>
      </w:r>
      <w:r w:rsidR="0095241A" w:rsidRPr="00BD6DD6">
        <w:rPr>
          <w:rFonts w:asciiTheme="minorHAnsi" w:hAnsiTheme="minorHAnsi" w:cstheme="minorHAnsi"/>
          <w:lang w:val="en-GB"/>
        </w:rPr>
        <w:t xml:space="preserve">development </w:t>
      </w:r>
    </w:p>
    <w:p w14:paraId="3C06E1C5" w14:textId="77777777" w:rsidR="0067676B" w:rsidRDefault="0067676B" w:rsidP="00EF01F1">
      <w:pPr>
        <w:spacing w:line="276" w:lineRule="auto"/>
        <w:jc w:val="both"/>
        <w:rPr>
          <w:rFonts w:cstheme="minorHAnsi"/>
        </w:rPr>
      </w:pPr>
    </w:p>
    <w:p w14:paraId="2F0F3C9C" w14:textId="3725B112" w:rsidR="001614C0" w:rsidRPr="00EF01F1" w:rsidRDefault="001614C0" w:rsidP="00EF01F1">
      <w:pPr>
        <w:spacing w:line="276" w:lineRule="auto"/>
        <w:jc w:val="both"/>
        <w:rPr>
          <w:rFonts w:cstheme="minorHAnsi"/>
        </w:rPr>
      </w:pPr>
      <w:r w:rsidRPr="00EF01F1">
        <w:rPr>
          <w:rFonts w:cstheme="minorHAnsi"/>
        </w:rPr>
        <w:t xml:space="preserve">This will allow the WP1 partners to ensure that appropriate operating ranges </w:t>
      </w:r>
      <w:r w:rsidR="00D04D23">
        <w:rPr>
          <w:rFonts w:cstheme="minorHAnsi"/>
        </w:rPr>
        <w:t>and flow metering technologies</w:t>
      </w:r>
      <w:r w:rsidRPr="00EF01F1">
        <w:rPr>
          <w:rFonts w:cstheme="minorHAnsi"/>
        </w:rPr>
        <w:t xml:space="preserve"> have been selected for </w:t>
      </w:r>
      <w:r w:rsidR="00D04D23">
        <w:rPr>
          <w:rFonts w:cstheme="minorHAnsi"/>
        </w:rPr>
        <w:t xml:space="preserve">the subsequent </w:t>
      </w:r>
      <w:r w:rsidRPr="00EF01F1">
        <w:rPr>
          <w:rFonts w:cstheme="minorHAnsi"/>
        </w:rPr>
        <w:t>flow meters test</w:t>
      </w:r>
      <w:r w:rsidR="00FE2599">
        <w:rPr>
          <w:rFonts w:cstheme="minorHAnsi"/>
        </w:rPr>
        <w:t>ing phase of</w:t>
      </w:r>
      <w:r w:rsidR="00D04D23">
        <w:rPr>
          <w:rFonts w:cstheme="minorHAnsi"/>
        </w:rPr>
        <w:t xml:space="preserve"> the projects</w:t>
      </w:r>
      <w:r w:rsidRPr="00EF01F1">
        <w:rPr>
          <w:rFonts w:cstheme="minorHAnsi"/>
        </w:rPr>
        <w:t>.</w:t>
      </w:r>
    </w:p>
    <w:bookmarkEnd w:id="11"/>
    <w:p w14:paraId="4C2DB806" w14:textId="08E1095F" w:rsidR="001614C0" w:rsidRDefault="001614C0" w:rsidP="00F668C6">
      <w:pPr>
        <w:spacing w:line="276" w:lineRule="auto"/>
        <w:jc w:val="both"/>
        <w:rPr>
          <w:rFonts w:cs="Calibri"/>
        </w:rPr>
      </w:pPr>
      <w:r>
        <w:rPr>
          <w:rFonts w:cs="Calibri"/>
        </w:rPr>
        <w:t xml:space="preserve">Specifically, in activity A1.1.1 </w:t>
      </w:r>
      <w:proofErr w:type="spellStart"/>
      <w:r w:rsidRPr="00D67AD2">
        <w:rPr>
          <w:rFonts w:cs="Calibri"/>
        </w:rPr>
        <w:t>Enag</w:t>
      </w:r>
      <w:r w:rsidR="001613CD">
        <w:rPr>
          <w:rFonts w:cs="Calibri"/>
        </w:rPr>
        <w:t>á</w:t>
      </w:r>
      <w:r w:rsidRPr="00D67AD2">
        <w:rPr>
          <w:rFonts w:cs="Calibri"/>
        </w:rPr>
        <w:t>s</w:t>
      </w:r>
      <w:proofErr w:type="spellEnd"/>
      <w:r w:rsidRPr="00D67AD2">
        <w:rPr>
          <w:rFonts w:cs="Calibri"/>
        </w:rPr>
        <w:t>, with support from NEL, VSL and DNV</w:t>
      </w:r>
      <w:r>
        <w:rPr>
          <w:rFonts w:cs="Calibri"/>
        </w:rPr>
        <w:t>,</w:t>
      </w:r>
      <w:r w:rsidRPr="00D67AD2">
        <w:rPr>
          <w:rFonts w:cs="Calibri"/>
        </w:rPr>
        <w:t xml:space="preserve"> </w:t>
      </w:r>
      <w:r w:rsidR="00FE2599">
        <w:rPr>
          <w:rFonts w:cs="Calibri"/>
        </w:rPr>
        <w:t>have</w:t>
      </w:r>
      <w:r w:rsidRPr="00D67AD2">
        <w:rPr>
          <w:rFonts w:cs="Calibri"/>
        </w:rPr>
        <w:t xml:space="preserve"> review</w:t>
      </w:r>
      <w:r w:rsidR="00FE2599">
        <w:rPr>
          <w:rFonts w:cs="Calibri"/>
        </w:rPr>
        <w:t>ed</w:t>
      </w:r>
      <w:r w:rsidRPr="00D67AD2">
        <w:rPr>
          <w:rFonts w:cs="Calibri"/>
        </w:rPr>
        <w:t xml:space="preserve"> the latest findings from 18NRM06 NEWGASMET to determine the operating ranges (pressures, flow rates, temperatures, gas compositions) for utilisation of hydrogen and hydrogen-enriched natural gas in European gas grids at the domestic, distribution and transmission scale. </w:t>
      </w:r>
      <w:proofErr w:type="spellStart"/>
      <w:r w:rsidRPr="00D67AD2">
        <w:rPr>
          <w:rFonts w:cs="Calibri"/>
        </w:rPr>
        <w:t>Enag</w:t>
      </w:r>
      <w:r w:rsidR="001613CD">
        <w:rPr>
          <w:rFonts w:cs="Calibri"/>
        </w:rPr>
        <w:t>á</w:t>
      </w:r>
      <w:r w:rsidRPr="00D67AD2">
        <w:rPr>
          <w:rFonts w:cs="Calibri"/>
        </w:rPr>
        <w:t>s</w:t>
      </w:r>
      <w:proofErr w:type="spellEnd"/>
      <w:r w:rsidRPr="00D67AD2">
        <w:rPr>
          <w:rFonts w:cs="Calibri"/>
        </w:rPr>
        <w:t>, with support from NEL, VSL and DNV</w:t>
      </w:r>
      <w:r>
        <w:rPr>
          <w:rFonts w:cs="Calibri"/>
        </w:rPr>
        <w:t>,</w:t>
      </w:r>
      <w:r w:rsidRPr="00D67AD2">
        <w:rPr>
          <w:rFonts w:cs="Calibri"/>
        </w:rPr>
        <w:t xml:space="preserve"> </w:t>
      </w:r>
      <w:r w:rsidR="00FE2599">
        <w:rPr>
          <w:rFonts w:cs="Calibri"/>
        </w:rPr>
        <w:t>have</w:t>
      </w:r>
      <w:r w:rsidRPr="00D67AD2">
        <w:rPr>
          <w:rFonts w:cs="Calibri"/>
        </w:rPr>
        <w:t xml:space="preserve"> collect</w:t>
      </w:r>
      <w:r w:rsidR="00FE2599">
        <w:rPr>
          <w:rFonts w:cs="Calibri"/>
        </w:rPr>
        <w:t>ed</w:t>
      </w:r>
      <w:r w:rsidRPr="00D67AD2">
        <w:rPr>
          <w:rFonts w:cs="Calibri"/>
        </w:rPr>
        <w:t xml:space="preserve"> knowledge on the plans for decarbonisation across each country in Europe</w:t>
      </w:r>
      <w:r>
        <w:rPr>
          <w:rFonts w:cs="Calibri"/>
        </w:rPr>
        <w:t>,</w:t>
      </w:r>
      <w:r w:rsidRPr="00D67AD2">
        <w:rPr>
          <w:rFonts w:cs="Calibri"/>
        </w:rPr>
        <w:t xml:space="preserve"> including efforts from </w:t>
      </w:r>
      <w:r>
        <w:rPr>
          <w:rFonts w:cs="Calibri"/>
        </w:rPr>
        <w:t>ongoing</w:t>
      </w:r>
      <w:r w:rsidRPr="00D67AD2">
        <w:rPr>
          <w:rFonts w:cs="Calibri"/>
        </w:rPr>
        <w:t xml:space="preserve"> projects such as NEWGASMET.</w:t>
      </w:r>
      <w:r>
        <w:rPr>
          <w:rFonts w:cs="Calibri"/>
        </w:rPr>
        <w:t xml:space="preserve"> </w:t>
      </w:r>
    </w:p>
    <w:p w14:paraId="1331D834" w14:textId="49E3FBE3" w:rsidR="00FE2599" w:rsidRDefault="00FE2599" w:rsidP="00F668C6">
      <w:pPr>
        <w:spacing w:line="276" w:lineRule="auto"/>
        <w:jc w:val="both"/>
        <w:rPr>
          <w:rFonts w:cs="Calibri"/>
        </w:rPr>
      </w:pPr>
      <w:r>
        <w:rPr>
          <w:rFonts w:cs="Calibri"/>
        </w:rPr>
        <w:t xml:space="preserve">In activity A1.1.2 DNV, with the support from NEL, VSL and </w:t>
      </w:r>
      <w:proofErr w:type="spellStart"/>
      <w:r>
        <w:rPr>
          <w:rFonts w:cs="Calibri"/>
        </w:rPr>
        <w:t>Enag</w:t>
      </w:r>
      <w:r w:rsidR="001613CD">
        <w:rPr>
          <w:rFonts w:cs="Calibri"/>
        </w:rPr>
        <w:t>á</w:t>
      </w:r>
      <w:r>
        <w:rPr>
          <w:rFonts w:cs="Calibri"/>
        </w:rPr>
        <w:t>s</w:t>
      </w:r>
      <w:proofErr w:type="spellEnd"/>
      <w:r w:rsidR="00F84DFE">
        <w:rPr>
          <w:rFonts w:cs="Calibri"/>
        </w:rPr>
        <w:t>,</w:t>
      </w:r>
      <w:r>
        <w:rPr>
          <w:rFonts w:cs="Calibri"/>
        </w:rPr>
        <w:t xml:space="preserve"> </w:t>
      </w:r>
      <w:r w:rsidR="00F84DFE">
        <w:rPr>
          <w:rFonts w:cs="Calibri"/>
        </w:rPr>
        <w:t xml:space="preserve">has </w:t>
      </w:r>
      <w:r>
        <w:rPr>
          <w:rFonts w:cs="Calibri"/>
        </w:rPr>
        <w:t>conducted a literature review of hydrogen and hydrogen</w:t>
      </w:r>
      <w:r w:rsidR="0095241A">
        <w:rPr>
          <w:rFonts w:cs="Calibri"/>
        </w:rPr>
        <w:t>/</w:t>
      </w:r>
      <w:r>
        <w:rPr>
          <w:rFonts w:cs="Calibri"/>
        </w:rPr>
        <w:t xml:space="preserve">natural gas blends metering studies, availability of models to calculate physical properties and developments in flow meter technology. </w:t>
      </w:r>
    </w:p>
    <w:p w14:paraId="0982A3A3" w14:textId="64FF20CD" w:rsidR="0095241A" w:rsidRPr="0095241A" w:rsidRDefault="0095241A" w:rsidP="0095241A">
      <w:pPr>
        <w:spacing w:line="276" w:lineRule="auto"/>
        <w:jc w:val="both"/>
        <w:rPr>
          <w:rFonts w:cs="Calibri"/>
          <w:color w:val="000000" w:themeColor="text1"/>
        </w:rPr>
      </w:pPr>
      <w:r w:rsidRPr="0095241A">
        <w:rPr>
          <w:rFonts w:cs="Calibri"/>
          <w:color w:val="000000" w:themeColor="text1"/>
        </w:rPr>
        <w:lastRenderedPageBreak/>
        <w:t>In</w:t>
      </w:r>
      <w:r>
        <w:rPr>
          <w:rFonts w:cs="Calibri"/>
          <w:b/>
          <w:bCs/>
          <w:color w:val="007AAE"/>
        </w:rPr>
        <w:t xml:space="preserve"> Section 3 </w:t>
      </w:r>
      <w:r w:rsidRPr="0095241A">
        <w:rPr>
          <w:rFonts w:cs="Calibri"/>
          <w:color w:val="000000" w:themeColor="text1"/>
        </w:rPr>
        <w:t>the operating ranges of the gas grids across Europe are presented. In</w:t>
      </w:r>
      <w:r>
        <w:rPr>
          <w:rFonts w:cs="Calibri"/>
          <w:b/>
          <w:bCs/>
          <w:color w:val="007AAE"/>
        </w:rPr>
        <w:t xml:space="preserve"> Section 4 </w:t>
      </w:r>
      <w:r w:rsidRPr="0095241A">
        <w:rPr>
          <w:rFonts w:cs="Calibri"/>
          <w:color w:val="000000" w:themeColor="text1"/>
        </w:rPr>
        <w:t xml:space="preserve">the plans for gas grid decarbonisation across European countries </w:t>
      </w:r>
      <w:r>
        <w:rPr>
          <w:rFonts w:cs="Calibri"/>
          <w:color w:val="000000" w:themeColor="text1"/>
        </w:rPr>
        <w:t xml:space="preserve">are described while in </w:t>
      </w:r>
      <w:r>
        <w:rPr>
          <w:rFonts w:cs="Calibri"/>
          <w:b/>
          <w:bCs/>
          <w:color w:val="007AAE"/>
        </w:rPr>
        <w:t xml:space="preserve">Section </w:t>
      </w:r>
      <w:r w:rsidR="007652D8">
        <w:rPr>
          <w:rFonts w:cs="Calibri"/>
          <w:b/>
          <w:bCs/>
          <w:color w:val="007AAE"/>
        </w:rPr>
        <w:t>5</w:t>
      </w:r>
      <w:r w:rsidR="007652D8">
        <w:rPr>
          <w:rFonts w:cs="Calibri"/>
          <w:color w:val="000000" w:themeColor="text1"/>
        </w:rPr>
        <w:t xml:space="preserve"> </w:t>
      </w:r>
      <w:r>
        <w:rPr>
          <w:rFonts w:cs="Calibri"/>
          <w:color w:val="000000" w:themeColor="text1"/>
        </w:rPr>
        <w:t>a review of flow metering technologies is presented.</w:t>
      </w:r>
      <w:r w:rsidR="00B16415">
        <w:rPr>
          <w:rFonts w:cs="Calibri"/>
          <w:color w:val="000000" w:themeColor="text1"/>
        </w:rPr>
        <w:t xml:space="preserve"> Final conclusions are drawn in </w:t>
      </w:r>
      <w:r w:rsidR="00B16415">
        <w:rPr>
          <w:rFonts w:cs="Calibri"/>
          <w:b/>
          <w:bCs/>
          <w:color w:val="007AAE"/>
        </w:rPr>
        <w:t>Section 6</w:t>
      </w:r>
      <w:r w:rsidR="00B16415" w:rsidRPr="00B16415">
        <w:rPr>
          <w:rFonts w:cs="Calibri"/>
          <w:color w:val="000000" w:themeColor="text1"/>
        </w:rPr>
        <w:t>.</w:t>
      </w:r>
    </w:p>
    <w:p w14:paraId="7215807B" w14:textId="315AF556" w:rsidR="0030672C" w:rsidRDefault="0030672C" w:rsidP="00F668C6">
      <w:pPr>
        <w:pStyle w:val="Heading1"/>
        <w:jc w:val="both"/>
      </w:pPr>
      <w:bookmarkStart w:id="12" w:name="_Toc121830928"/>
      <w:r>
        <w:t xml:space="preserve">3. </w:t>
      </w:r>
      <w:r w:rsidR="00746E8D" w:rsidRPr="00746E8D">
        <w:t>EUROPEAN GAS GRIDS OPERATING RANGES FOR HYDROGEN</w:t>
      </w:r>
      <w:bookmarkEnd w:id="12"/>
    </w:p>
    <w:p w14:paraId="7341F047" w14:textId="77777777" w:rsidR="001614C0" w:rsidRDefault="001614C0" w:rsidP="00F668C6">
      <w:pPr>
        <w:jc w:val="both"/>
      </w:pPr>
    </w:p>
    <w:p w14:paraId="3DD708D6" w14:textId="6B85AA18" w:rsidR="0030672C" w:rsidRDefault="0030672C" w:rsidP="00F668C6">
      <w:pPr>
        <w:spacing w:line="276" w:lineRule="auto"/>
        <w:jc w:val="both"/>
      </w:pPr>
      <w:r w:rsidRPr="006A036B">
        <w:t>In 2020, the European Commission launched a hydrogen strategy for a climate-neutral Europe, setting out the conditions and actions for mainstreaming clean hydrogen, along with targets for installing renewable hydrogen electrolysers by 2024 and 2030</w:t>
      </w:r>
      <w:r>
        <w:t xml:space="preserve"> (</w:t>
      </w:r>
      <w:r w:rsidRPr="00E83D1F">
        <w:t>at least 6 GW of renewable hydrogen electrolysers in the EU by 2024 and 40 GW of renewable hydrogen electrolysers by 2030</w:t>
      </w:r>
      <w:r>
        <w:t>)</w:t>
      </w:r>
      <w:r w:rsidRPr="008255FD">
        <w:t xml:space="preserve"> </w:t>
      </w:r>
      <w:r>
        <w:rPr>
          <w:b/>
          <w:bCs/>
          <w:color w:val="007AAE"/>
        </w:rPr>
        <w:fldChar w:fldCharType="begin"/>
      </w:r>
      <w:r>
        <w:rPr>
          <w:b/>
          <w:bCs/>
          <w:color w:val="007AAE"/>
        </w:rPr>
        <w:instrText xml:space="preserve"> REF _Ref96685958 \r \h </w:instrText>
      </w:r>
      <w:r w:rsidR="00F668C6">
        <w:rPr>
          <w:b/>
          <w:bCs/>
          <w:color w:val="007AAE"/>
        </w:rPr>
        <w:instrText xml:space="preserve"> \* MERGEFORMAT </w:instrText>
      </w:r>
      <w:r>
        <w:rPr>
          <w:b/>
          <w:bCs/>
          <w:color w:val="007AAE"/>
        </w:rPr>
      </w:r>
      <w:r>
        <w:rPr>
          <w:b/>
          <w:bCs/>
          <w:color w:val="007AAE"/>
        </w:rPr>
        <w:fldChar w:fldCharType="separate"/>
      </w:r>
      <w:r>
        <w:rPr>
          <w:b/>
          <w:bCs/>
          <w:color w:val="007AAE"/>
        </w:rPr>
        <w:t>[2]</w:t>
      </w:r>
      <w:r>
        <w:rPr>
          <w:b/>
          <w:bCs/>
          <w:color w:val="007AAE"/>
        </w:rPr>
        <w:fldChar w:fldCharType="end"/>
      </w:r>
      <w:r>
        <w:t>.</w:t>
      </w:r>
    </w:p>
    <w:p w14:paraId="6A843EC6" w14:textId="18B278A2" w:rsidR="0030672C" w:rsidRPr="006F284E" w:rsidRDefault="0030672C" w:rsidP="00F668C6">
      <w:pPr>
        <w:spacing w:line="276" w:lineRule="auto"/>
        <w:jc w:val="both"/>
      </w:pPr>
      <w:r w:rsidRPr="006F284E">
        <w:t xml:space="preserve">For decades European gas networks have shown the ability to deliver reliable, </w:t>
      </w:r>
      <w:proofErr w:type="gramStart"/>
      <w:r>
        <w:t>cost-effective</w:t>
      </w:r>
      <w:proofErr w:type="gramEnd"/>
      <w:r w:rsidRPr="006F284E">
        <w:t xml:space="preserve"> and safe pipeline distribution to millions of</w:t>
      </w:r>
      <w:r>
        <w:t xml:space="preserve"> </w:t>
      </w:r>
      <w:r w:rsidRPr="006F284E">
        <w:t xml:space="preserve">customers. </w:t>
      </w:r>
      <w:r>
        <w:t>G</w:t>
      </w:r>
      <w:r w:rsidRPr="006F284E">
        <w:t xml:space="preserve">as networks will also add value to address the challenges to achieve the </w:t>
      </w:r>
      <w:r>
        <w:t>enormous</w:t>
      </w:r>
      <w:r w:rsidRPr="006F284E">
        <w:t xml:space="preserve"> growth and</w:t>
      </w:r>
      <w:r>
        <w:t xml:space="preserve"> </w:t>
      </w:r>
      <w:r w:rsidRPr="006F284E">
        <w:t>carbon reduction potential of hydrogen in Europe</w:t>
      </w:r>
      <w:r>
        <w:t xml:space="preserve"> and </w:t>
      </w:r>
      <w:r w:rsidRPr="00F218E9">
        <w:t>meet Europe’s ambitious climate goals</w:t>
      </w:r>
      <w:r>
        <w:t xml:space="preserve"> as </w:t>
      </w:r>
      <w:r w:rsidRPr="00F218E9">
        <w:rPr>
          <w:b/>
          <w:bCs/>
          <w:color w:val="007AAE"/>
        </w:rPr>
        <w:fldChar w:fldCharType="begin"/>
      </w:r>
      <w:r w:rsidRPr="00F218E9">
        <w:rPr>
          <w:b/>
          <w:bCs/>
          <w:color w:val="007AAE"/>
        </w:rPr>
        <w:instrText xml:space="preserve"> REF _Ref96360921 \r \h  \* MERGEFORMAT </w:instrText>
      </w:r>
      <w:r w:rsidRPr="00F218E9">
        <w:rPr>
          <w:b/>
          <w:bCs/>
          <w:color w:val="007AAE"/>
        </w:rPr>
      </w:r>
      <w:r w:rsidRPr="00F218E9">
        <w:rPr>
          <w:b/>
          <w:bCs/>
          <w:color w:val="007AAE"/>
        </w:rPr>
        <w:fldChar w:fldCharType="separate"/>
      </w:r>
      <w:r>
        <w:rPr>
          <w:b/>
          <w:bCs/>
          <w:color w:val="007AAE"/>
        </w:rPr>
        <w:t>[3]</w:t>
      </w:r>
      <w:r w:rsidRPr="00F218E9">
        <w:rPr>
          <w:b/>
          <w:bCs/>
          <w:color w:val="007AAE"/>
        </w:rPr>
        <w:fldChar w:fldCharType="end"/>
      </w:r>
      <w:r>
        <w:t>:</w:t>
      </w:r>
      <w:r w:rsidR="008C7281">
        <w:t xml:space="preserve"> </w:t>
      </w:r>
    </w:p>
    <w:p w14:paraId="6E692F22" w14:textId="77777777" w:rsidR="0030672C" w:rsidRPr="00F934E4" w:rsidRDefault="0030672C" w:rsidP="00F22800">
      <w:pPr>
        <w:pStyle w:val="ListParagraph"/>
        <w:numPr>
          <w:ilvl w:val="0"/>
          <w:numId w:val="3"/>
        </w:numPr>
        <w:spacing w:before="60" w:line="276" w:lineRule="auto"/>
        <w:ind w:left="851" w:hanging="397"/>
        <w:contextualSpacing w:val="0"/>
        <w:jc w:val="both"/>
        <w:rPr>
          <w:rFonts w:asciiTheme="minorHAnsi" w:hAnsiTheme="minorHAnsi" w:cstheme="minorHAnsi"/>
          <w:lang w:val="en-GB"/>
        </w:rPr>
      </w:pPr>
      <w:r w:rsidRPr="00F934E4">
        <w:rPr>
          <w:rFonts w:asciiTheme="minorHAnsi" w:hAnsiTheme="minorHAnsi" w:cstheme="minorHAnsi"/>
          <w:lang w:val="en-GB"/>
        </w:rPr>
        <w:t>Gas infrastructure provides the means to cope with rapidly growing shares of variable wind and solar power by transporting hydrogen from decentralised production to consumers and the European hydrogen market.</w:t>
      </w:r>
    </w:p>
    <w:p w14:paraId="54421932" w14:textId="77777777" w:rsidR="0030672C" w:rsidRPr="00F934E4" w:rsidRDefault="0030672C" w:rsidP="00F668C6">
      <w:pPr>
        <w:pStyle w:val="ListParagraph"/>
        <w:numPr>
          <w:ilvl w:val="0"/>
          <w:numId w:val="3"/>
        </w:numPr>
        <w:spacing w:before="60" w:line="276" w:lineRule="auto"/>
        <w:ind w:left="851" w:hanging="397"/>
        <w:contextualSpacing w:val="0"/>
        <w:jc w:val="both"/>
        <w:rPr>
          <w:rFonts w:asciiTheme="minorHAnsi" w:hAnsiTheme="minorHAnsi" w:cstheme="minorHAnsi"/>
          <w:lang w:val="en-GB"/>
        </w:rPr>
      </w:pPr>
      <w:r w:rsidRPr="00F934E4">
        <w:rPr>
          <w:rFonts w:asciiTheme="minorHAnsi" w:hAnsiTheme="minorHAnsi" w:cstheme="minorHAnsi"/>
          <w:lang w:val="en-GB"/>
        </w:rPr>
        <w:t>Gas infrastructure can handle significant seasonality in demand (between summer and winter by a factor of 2 to 6), providing a reliable hydrogen supply even during the coldest winters. Large scale hydrogen underground storage facilities linked to gas networks are the only fast-acting, long-lasting (days to weeks) storage capacity at an enormous scale to cope with variable power production and demand for gas among European consumers.</w:t>
      </w:r>
    </w:p>
    <w:p w14:paraId="06CD7819" w14:textId="77777777" w:rsidR="0030672C" w:rsidRPr="00F934E4" w:rsidRDefault="0030672C" w:rsidP="00F668C6">
      <w:pPr>
        <w:pStyle w:val="ListParagraph"/>
        <w:numPr>
          <w:ilvl w:val="0"/>
          <w:numId w:val="3"/>
        </w:numPr>
        <w:spacing w:before="60" w:line="276" w:lineRule="auto"/>
        <w:ind w:left="851" w:hanging="397"/>
        <w:contextualSpacing w:val="0"/>
        <w:jc w:val="both"/>
        <w:rPr>
          <w:rFonts w:asciiTheme="minorHAnsi" w:hAnsiTheme="minorHAnsi" w:cstheme="minorHAnsi"/>
          <w:lang w:val="en-GB"/>
        </w:rPr>
      </w:pPr>
      <w:r w:rsidRPr="00F934E4">
        <w:rPr>
          <w:rFonts w:asciiTheme="minorHAnsi" w:hAnsiTheme="minorHAnsi" w:cstheme="minorHAnsi"/>
          <w:lang w:val="en-GB"/>
        </w:rPr>
        <w:t>Local gas networks provide a flexible decarbonisation pathway for customers as they are well positioned to distribute and manage varying local blends of molecules and, to a large extent, are ready to convert relatively quickly to adapt 100 % hydrogen.</w:t>
      </w:r>
    </w:p>
    <w:p w14:paraId="1384FDE6" w14:textId="77777777" w:rsidR="0030672C" w:rsidRPr="00F934E4" w:rsidRDefault="0030672C" w:rsidP="00F668C6">
      <w:pPr>
        <w:pStyle w:val="ListParagraph"/>
        <w:numPr>
          <w:ilvl w:val="0"/>
          <w:numId w:val="3"/>
        </w:numPr>
        <w:spacing w:before="60" w:line="276" w:lineRule="auto"/>
        <w:ind w:left="851" w:hanging="397"/>
        <w:contextualSpacing w:val="0"/>
        <w:jc w:val="both"/>
        <w:rPr>
          <w:rFonts w:asciiTheme="minorHAnsi" w:hAnsiTheme="minorHAnsi" w:cstheme="minorHAnsi"/>
          <w:lang w:val="en-GB"/>
        </w:rPr>
      </w:pPr>
      <w:r w:rsidRPr="00F934E4">
        <w:rPr>
          <w:rFonts w:asciiTheme="minorHAnsi" w:hAnsiTheme="minorHAnsi" w:cstheme="minorHAnsi"/>
          <w:lang w:val="en-GB"/>
        </w:rPr>
        <w:t>As a high percentage of industrial and commercial gas end-users are connected to gas networks, the infrastructure is crucial to bring the European hydrogen backbone to life and deliver large volumes of hydrogen to millions of customers. A local gas network will facilitate a competitive hydrogen market, meaning more hydrogen for users at a lower price.</w:t>
      </w:r>
    </w:p>
    <w:p w14:paraId="700D1779" w14:textId="77777777" w:rsidR="0030672C" w:rsidRPr="00F934E4" w:rsidRDefault="0030672C" w:rsidP="00F668C6">
      <w:pPr>
        <w:pStyle w:val="ListParagraph"/>
        <w:numPr>
          <w:ilvl w:val="0"/>
          <w:numId w:val="3"/>
        </w:numPr>
        <w:spacing w:before="60" w:line="276" w:lineRule="auto"/>
        <w:ind w:left="851" w:hanging="397"/>
        <w:contextualSpacing w:val="0"/>
        <w:jc w:val="both"/>
        <w:rPr>
          <w:rFonts w:asciiTheme="minorHAnsi" w:hAnsiTheme="minorHAnsi" w:cstheme="minorHAnsi"/>
          <w:lang w:val="en-GB"/>
        </w:rPr>
      </w:pPr>
      <w:r w:rsidRPr="00F934E4">
        <w:rPr>
          <w:rFonts w:asciiTheme="minorHAnsi" w:hAnsiTheme="minorHAnsi" w:cstheme="minorHAnsi"/>
          <w:lang w:val="en-GB"/>
        </w:rPr>
        <w:t>Local gas networks provide a cost-efficient pathway. Cost analysis shows that in a decarbonisation scenario including significant volumes of hydrogen and green methane, investment in the combined power and gas infrastructure is estimated to save 41 billion Euros per year compared to a power dominated scenario.</w:t>
      </w:r>
    </w:p>
    <w:p w14:paraId="60E18D23" w14:textId="77777777" w:rsidR="008C7281" w:rsidRDefault="008C7281" w:rsidP="00F668C6">
      <w:pPr>
        <w:jc w:val="both"/>
      </w:pPr>
    </w:p>
    <w:p w14:paraId="2C6A89AE" w14:textId="118C7926" w:rsidR="00422D1F" w:rsidRDefault="00DD0D07" w:rsidP="00F668C6">
      <w:pPr>
        <w:pStyle w:val="Heading2"/>
        <w:jc w:val="both"/>
      </w:pPr>
      <w:bookmarkStart w:id="13" w:name="_Toc121830929"/>
      <w:r>
        <w:t xml:space="preserve">3.1 </w:t>
      </w:r>
      <w:r w:rsidR="00746E8D">
        <w:t>HYDROGEN CONCENTRATION</w:t>
      </w:r>
      <w:bookmarkEnd w:id="13"/>
      <w:r w:rsidR="00746E8D">
        <w:t xml:space="preserve"> </w:t>
      </w:r>
      <w:r>
        <w:t xml:space="preserve"> </w:t>
      </w:r>
    </w:p>
    <w:p w14:paraId="1B530E12" w14:textId="77777777" w:rsidR="008C7281" w:rsidRDefault="008C7281" w:rsidP="00F668C6">
      <w:pPr>
        <w:spacing w:line="276" w:lineRule="auto"/>
        <w:jc w:val="both"/>
      </w:pPr>
    </w:p>
    <w:p w14:paraId="79916A76" w14:textId="7AD24A10" w:rsidR="00DD0D07" w:rsidRDefault="00DD0D07" w:rsidP="00F668C6">
      <w:pPr>
        <w:spacing w:line="276" w:lineRule="auto"/>
        <w:jc w:val="both"/>
      </w:pPr>
      <w:r w:rsidRPr="006A036B">
        <w:t>Blending hydrogen alongside other gases into the existing gas grid is considered a possible interim first step towards</w:t>
      </w:r>
      <w:r w:rsidR="008C268C">
        <w:t xml:space="preserve"> fully</w:t>
      </w:r>
      <w:r w:rsidRPr="006A036B">
        <w:t xml:space="preserve"> decarbonising </w:t>
      </w:r>
      <w:r w:rsidR="008C268C">
        <w:t xml:space="preserve">the </w:t>
      </w:r>
      <w:r w:rsidRPr="006A036B">
        <w:t>natural gas</w:t>
      </w:r>
      <w:r w:rsidR="008C268C">
        <w:t xml:space="preserve"> grid</w:t>
      </w:r>
      <w:r w:rsidRPr="00E83D1F">
        <w:t xml:space="preserve">. A range of studies and reports indicate that </w:t>
      </w:r>
      <w:r w:rsidRPr="0049333F">
        <w:t>the presence of hydrogen in the gas grid up to a maximum of approximately 5</w:t>
      </w:r>
      <w:r w:rsidR="008C268C">
        <w:t xml:space="preserve"> </w:t>
      </w:r>
      <w:r w:rsidRPr="0049333F">
        <w:t>-10 vol</w:t>
      </w:r>
      <w:r w:rsidR="00314EA6">
        <w:t xml:space="preserve"> </w:t>
      </w:r>
      <w:r w:rsidRPr="0049333F">
        <w:t xml:space="preserve">% would be feasible without </w:t>
      </w:r>
      <w:r>
        <w:t>significant</w:t>
      </w:r>
      <w:r w:rsidRPr="0049333F">
        <w:t xml:space="preserve"> modifications in the gas infrastructure and end-</w:t>
      </w:r>
      <w:r w:rsidRPr="00E83D1F">
        <w:t xml:space="preserve">consumer installations. </w:t>
      </w:r>
      <w:r w:rsidR="008C268C">
        <w:t>B</w:t>
      </w:r>
      <w:r w:rsidR="008C268C" w:rsidRPr="008C268C">
        <w:t>ased on current knowledge</w:t>
      </w:r>
      <w:r w:rsidR="008C268C">
        <w:t>,</w:t>
      </w:r>
      <w:r w:rsidR="008C268C" w:rsidRPr="008C268C">
        <w:t xml:space="preserve"> </w:t>
      </w:r>
      <w:r w:rsidR="008C268C">
        <w:t>a</w:t>
      </w:r>
      <w:r w:rsidRPr="00E83D1F">
        <w:t xml:space="preserve"> further increase </w:t>
      </w:r>
      <w:r>
        <w:t xml:space="preserve">towards the end of the decade </w:t>
      </w:r>
      <w:r w:rsidRPr="00E83D1F">
        <w:t>to 15</w:t>
      </w:r>
      <w:r w:rsidR="008C268C">
        <w:t xml:space="preserve"> </w:t>
      </w:r>
      <w:r w:rsidRPr="00E83D1F">
        <w:t>-</w:t>
      </w:r>
      <w:r w:rsidR="008C268C">
        <w:t xml:space="preserve"> </w:t>
      </w:r>
      <w:r w:rsidRPr="00E83D1F">
        <w:t>20</w:t>
      </w:r>
      <w:r>
        <w:t xml:space="preserve"> vol</w:t>
      </w:r>
      <w:r w:rsidR="008C268C">
        <w:t xml:space="preserve"> </w:t>
      </w:r>
      <w:r w:rsidRPr="00E83D1F">
        <w:t xml:space="preserve">% appears </w:t>
      </w:r>
      <w:r>
        <w:t>possible</w:t>
      </w:r>
      <w:r w:rsidRPr="00E83D1F">
        <w:t xml:space="preserve"> after </w:t>
      </w:r>
      <w:r>
        <w:t>changes</w:t>
      </w:r>
      <w:r w:rsidRPr="00E83D1F">
        <w:t xml:space="preserve"> </w:t>
      </w:r>
      <w:r w:rsidR="008C268C">
        <w:t>to</w:t>
      </w:r>
      <w:r w:rsidRPr="00141D2A">
        <w:t xml:space="preserve"> the infrastructure and affected consumer installations</w:t>
      </w:r>
      <w:r w:rsidRPr="00E83D1F">
        <w:t xml:space="preserve">. Raising </w:t>
      </w:r>
      <w:r>
        <w:t>hydrogen content</w:t>
      </w:r>
      <w:r w:rsidRPr="00E83D1F">
        <w:t xml:space="preserve"> beyond </w:t>
      </w:r>
      <w:r w:rsidRPr="006B5ED5">
        <w:t>that</w:t>
      </w:r>
      <w:r w:rsidR="008C268C">
        <w:t xml:space="preserve"> concentration range</w:t>
      </w:r>
      <w:r w:rsidRPr="006B5ED5">
        <w:t xml:space="preserve"> would require </w:t>
      </w:r>
      <w:r w:rsidR="008C268C">
        <w:t xml:space="preserve">further research and developments </w:t>
      </w:r>
      <w:r w:rsidRPr="006B5ED5">
        <w:t xml:space="preserve">for some categories of consumers and could </w:t>
      </w:r>
      <w:proofErr w:type="gramStart"/>
      <w:r w:rsidRPr="006B5ED5">
        <w:t xml:space="preserve">be considered </w:t>
      </w:r>
      <w:r w:rsidR="008C268C">
        <w:t>to be</w:t>
      </w:r>
      <w:proofErr w:type="gramEnd"/>
      <w:r w:rsidR="008C268C">
        <w:t xml:space="preserve"> a </w:t>
      </w:r>
      <w:r w:rsidR="008C268C" w:rsidRPr="006B5ED5">
        <w:t>med</w:t>
      </w:r>
      <w:r w:rsidR="008C268C">
        <w:t>ium</w:t>
      </w:r>
      <w:r w:rsidRPr="006B5ED5">
        <w:t xml:space="preserve"> to long</w:t>
      </w:r>
      <w:r w:rsidR="008C268C">
        <w:t xml:space="preserve"> </w:t>
      </w:r>
      <w:r w:rsidRPr="006B5ED5">
        <w:t>term</w:t>
      </w:r>
      <w:r w:rsidR="008C268C">
        <w:t xml:space="preserve"> development</w:t>
      </w:r>
      <w:r w:rsidRPr="006B5ED5">
        <w:t xml:space="preserve">. Many EU countries are considering allowing </w:t>
      </w:r>
      <w:r>
        <w:t>hydrogen injection</w:t>
      </w:r>
      <w:r w:rsidRPr="006B5ED5">
        <w:t xml:space="preserve"> into their natural gas network, some of them defining blending targets to be reached </w:t>
      </w:r>
      <w:r w:rsidR="00D12282">
        <w:t>by</w:t>
      </w:r>
      <w:r w:rsidRPr="006B5ED5">
        <w:t xml:space="preserve"> 2030</w:t>
      </w:r>
      <w:r w:rsidRPr="008255FD">
        <w:t xml:space="preserve"> </w:t>
      </w:r>
      <w:r>
        <w:rPr>
          <w:b/>
          <w:bCs/>
          <w:color w:val="007AAE"/>
        </w:rPr>
        <w:fldChar w:fldCharType="begin"/>
      </w:r>
      <w:r>
        <w:rPr>
          <w:b/>
          <w:bCs/>
          <w:color w:val="007AAE"/>
        </w:rPr>
        <w:instrText xml:space="preserve"> REF _Ref96686030 \r \h </w:instrText>
      </w:r>
      <w:r w:rsidR="00F668C6">
        <w:rPr>
          <w:b/>
          <w:bCs/>
          <w:color w:val="007AAE"/>
        </w:rPr>
        <w:instrText xml:space="preserve"> \* MERGEFORMAT </w:instrText>
      </w:r>
      <w:r>
        <w:rPr>
          <w:b/>
          <w:bCs/>
          <w:color w:val="007AAE"/>
        </w:rPr>
      </w:r>
      <w:r>
        <w:rPr>
          <w:b/>
          <w:bCs/>
          <w:color w:val="007AAE"/>
        </w:rPr>
        <w:fldChar w:fldCharType="separate"/>
      </w:r>
      <w:r>
        <w:rPr>
          <w:b/>
          <w:bCs/>
          <w:color w:val="007AAE"/>
        </w:rPr>
        <w:t>[4]</w:t>
      </w:r>
      <w:r>
        <w:rPr>
          <w:b/>
          <w:bCs/>
          <w:color w:val="007AAE"/>
        </w:rPr>
        <w:fldChar w:fldCharType="end"/>
      </w:r>
      <w:r w:rsidRPr="006B5ED5">
        <w:t>.</w:t>
      </w:r>
    </w:p>
    <w:p w14:paraId="666C9EFE" w14:textId="063B868D" w:rsidR="00DD0D07" w:rsidRPr="006B5ED5" w:rsidRDefault="00141CEB" w:rsidP="00F668C6">
      <w:pPr>
        <w:spacing w:line="276" w:lineRule="auto"/>
        <w:jc w:val="both"/>
      </w:pPr>
      <w:r>
        <w:lastRenderedPageBreak/>
        <w:t>In addition to address t</w:t>
      </w:r>
      <w:r w:rsidR="00DD0D07" w:rsidRPr="006B5ED5">
        <w:t xml:space="preserve">echnical challenges, </w:t>
      </w:r>
      <w:r>
        <w:t>a</w:t>
      </w:r>
      <w:r w:rsidR="00DD0D07" w:rsidRPr="006B5ED5">
        <w:t xml:space="preserve"> regulatory framework </w:t>
      </w:r>
      <w:r>
        <w:t>needs to</w:t>
      </w:r>
      <w:r w:rsidR="00DD0D07" w:rsidRPr="006B5ED5">
        <w:t xml:space="preserve"> be</w:t>
      </w:r>
      <w:r>
        <w:t xml:space="preserve"> timely</w:t>
      </w:r>
      <w:r w:rsidR="00DD0D07" w:rsidRPr="006B5ED5">
        <w:t xml:space="preserve"> in place to achieve </w:t>
      </w:r>
      <w:r>
        <w:t>these</w:t>
      </w:r>
      <w:r w:rsidR="00DD0D07" w:rsidRPr="006B5ED5">
        <w:t xml:space="preserve"> goals. Enabling the access of renewable gases to the gas grid was marked as one of the key priorities in the European Gas Regulatory Forum in Madrid, which called for </w:t>
      </w:r>
      <w:r w:rsidR="00DD0D07">
        <w:t>creating</w:t>
      </w:r>
      <w:r w:rsidR="00DD0D07" w:rsidRPr="006B5ED5">
        <w:t xml:space="preserve"> a market for renewable and low</w:t>
      </w:r>
      <w:r w:rsidR="00DD0D07">
        <w:t xml:space="preserve"> </w:t>
      </w:r>
      <w:r w:rsidR="00DD0D07" w:rsidRPr="006B5ED5">
        <w:t xml:space="preserve">carbon gases. </w:t>
      </w:r>
      <w:r w:rsidR="00E02C5C">
        <w:t>R</w:t>
      </w:r>
      <w:r w:rsidR="00DD0D07" w:rsidRPr="006B5ED5">
        <w:t>ules</w:t>
      </w:r>
      <w:r w:rsidR="00E02C5C">
        <w:t xml:space="preserve"> were also proposed</w:t>
      </w:r>
      <w:r w:rsidR="00DD0D07" w:rsidRPr="006B5ED5">
        <w:t xml:space="preserve"> for </w:t>
      </w:r>
      <w:r w:rsidR="00DD0D07">
        <w:t>deploying</w:t>
      </w:r>
      <w:r w:rsidR="00DD0D07" w:rsidRPr="006B5ED5">
        <w:t xml:space="preserve"> infrastructure along various pathways, including blending in the grid to guarantee broader availability of renewable and low</w:t>
      </w:r>
      <w:r w:rsidR="00DD0D07">
        <w:t xml:space="preserve"> </w:t>
      </w:r>
      <w:r w:rsidR="00DD0D07" w:rsidRPr="006B5ED5">
        <w:t xml:space="preserve">carbon gases </w:t>
      </w:r>
      <w:r w:rsidR="00E02C5C">
        <w:t>to</w:t>
      </w:r>
      <w:r w:rsidR="00DD0D07" w:rsidRPr="006B5ED5">
        <w:t xml:space="preserve"> end</w:t>
      </w:r>
      <w:r w:rsidR="00DD0D07">
        <w:t xml:space="preserve"> </w:t>
      </w:r>
      <w:r w:rsidR="00DD0D07" w:rsidRPr="006B5ED5">
        <w:t>users.</w:t>
      </w:r>
    </w:p>
    <w:p w14:paraId="0C6D755A" w14:textId="28858FAC" w:rsidR="00DD0D07" w:rsidRDefault="00DD0D07" w:rsidP="00F668C6">
      <w:pPr>
        <w:spacing w:line="276" w:lineRule="auto"/>
        <w:jc w:val="both"/>
      </w:pPr>
      <w:r w:rsidRPr="006B5ED5">
        <w:t xml:space="preserve">Lastly, the presence of non-harmonised hydrogen thresholds in neighbouring countries, where </w:t>
      </w:r>
      <w:r>
        <w:t>vital</w:t>
      </w:r>
      <w:r w:rsidRPr="006B5ED5">
        <w:t xml:space="preserve"> gas trade takes place, could induce significant trade barriers and constraints to the upstream grid. This</w:t>
      </w:r>
      <w:r>
        <w:t xml:space="preserve"> adverse effect</w:t>
      </w:r>
      <w:r w:rsidRPr="006B5ED5">
        <w:t xml:space="preserve"> can be addressed by minimising the differences in </w:t>
      </w:r>
      <w:r w:rsidR="00E02C5C">
        <w:t>requirements</w:t>
      </w:r>
      <w:r w:rsidRPr="006B5ED5">
        <w:t xml:space="preserve"> related to the maximum allowed concentration of hydrogen in gas networks </w:t>
      </w:r>
      <w:r>
        <w:t>to</w:t>
      </w:r>
      <w:r w:rsidRPr="006B5ED5">
        <w:t xml:space="preserve"> avoid distortions, especially for neighbouring countries with high gas exchange volumes.</w:t>
      </w:r>
    </w:p>
    <w:p w14:paraId="5F7C32D0" w14:textId="645F500A" w:rsidR="00746E8D" w:rsidRDefault="004C7736" w:rsidP="004C7736">
      <w:pPr>
        <w:pStyle w:val="Heading3"/>
      </w:pPr>
      <w:bookmarkStart w:id="14" w:name="_Toc121830930"/>
      <w:r>
        <w:t xml:space="preserve">3.1.1 </w:t>
      </w:r>
      <w:r w:rsidR="00746E8D" w:rsidRPr="00746E8D">
        <w:t>CURRENT GAS GRID HYDROGEN LIMITS</w:t>
      </w:r>
      <w:bookmarkEnd w:id="14"/>
    </w:p>
    <w:p w14:paraId="6B21D5C6" w14:textId="73BAEFD3" w:rsidR="00DD0D07" w:rsidRPr="000A350E" w:rsidRDefault="00DD0D07" w:rsidP="00F668C6">
      <w:pPr>
        <w:spacing w:line="276" w:lineRule="auto"/>
        <w:jc w:val="both"/>
      </w:pPr>
      <w:r w:rsidRPr="000A350E">
        <w:t>The sectoral integration of power and gas grids,</w:t>
      </w:r>
      <w:r>
        <w:t xml:space="preserve"> </w:t>
      </w:r>
      <w:r w:rsidRPr="000A350E">
        <w:t xml:space="preserve">using hydrogen as the medium, is one of the </w:t>
      </w:r>
      <w:r>
        <w:t xml:space="preserve">central </w:t>
      </w:r>
      <w:r w:rsidRPr="000A350E">
        <w:t>premises of the hydrogen economy. The injection</w:t>
      </w:r>
      <w:r>
        <w:t xml:space="preserve"> </w:t>
      </w:r>
      <w:r w:rsidRPr="000A350E">
        <w:t>of hydrogen from renewable energy into a retrofitted</w:t>
      </w:r>
      <w:r>
        <w:t xml:space="preserve"> </w:t>
      </w:r>
      <w:r w:rsidRPr="000A350E">
        <w:t>natural gas network or in a new hydrogen</w:t>
      </w:r>
      <w:r>
        <w:t xml:space="preserve"> </w:t>
      </w:r>
      <w:r w:rsidRPr="000A350E">
        <w:t>network could help utilise renewable energy that</w:t>
      </w:r>
      <w:r>
        <w:t xml:space="preserve"> </w:t>
      </w:r>
      <w:r w:rsidRPr="000A350E">
        <w:t>would otherwise be curtailed</w:t>
      </w:r>
      <w:r>
        <w:t xml:space="preserve">. Furthermore, it would enable </w:t>
      </w:r>
      <w:r w:rsidRPr="000A350E">
        <w:t>the gas grid’s</w:t>
      </w:r>
      <w:r>
        <w:t xml:space="preserve"> </w:t>
      </w:r>
      <w:r w:rsidR="00062C21">
        <w:t>substantial</w:t>
      </w:r>
      <w:r w:rsidRPr="000A350E">
        <w:t xml:space="preserve"> energy storage capacities and provide</w:t>
      </w:r>
      <w:r>
        <w:t xml:space="preserve"> </w:t>
      </w:r>
      <w:r w:rsidRPr="000A350E">
        <w:t>indirect renewable electricity transmission.</w:t>
      </w:r>
    </w:p>
    <w:p w14:paraId="4E1D2EDD" w14:textId="1C72078F" w:rsidR="00DD0D07" w:rsidRPr="000A350E" w:rsidRDefault="00DD0D07" w:rsidP="00F668C6">
      <w:pPr>
        <w:spacing w:line="276" w:lineRule="auto"/>
        <w:jc w:val="both"/>
      </w:pPr>
      <w:r w:rsidRPr="000A350E">
        <w:t>While hydrogen and natural gas have different</w:t>
      </w:r>
      <w:r>
        <w:t xml:space="preserve"> </w:t>
      </w:r>
      <w:r w:rsidRPr="000A350E">
        <w:t>chemical characteristics, blending hydrogen with</w:t>
      </w:r>
      <w:r>
        <w:t xml:space="preserve"> </w:t>
      </w:r>
      <w:r w:rsidRPr="000A350E">
        <w:t>natural gas changes these characteristics</w:t>
      </w:r>
      <w:r>
        <w:t xml:space="preserve"> slightly for low concentrations</w:t>
      </w:r>
      <w:r w:rsidRPr="000A350E">
        <w:t>.</w:t>
      </w:r>
      <w:r>
        <w:t xml:space="preserve"> Combining</w:t>
      </w:r>
      <w:r w:rsidRPr="000A350E">
        <w:t xml:space="preserve"> these two gases can also become an</w:t>
      </w:r>
      <w:r>
        <w:t xml:space="preserve"> </w:t>
      </w:r>
      <w:r w:rsidRPr="000A350E">
        <w:t>important early step towards gradual gas grid</w:t>
      </w:r>
      <w:r>
        <w:t xml:space="preserve"> </w:t>
      </w:r>
      <w:r w:rsidRPr="000A350E">
        <w:t>decarbonisation. Injecting hydrogen into some</w:t>
      </w:r>
      <w:r>
        <w:t xml:space="preserve"> </w:t>
      </w:r>
      <w:r w:rsidRPr="000A350E">
        <w:t xml:space="preserve">natural gas distribution networks is </w:t>
      </w:r>
      <w:r w:rsidRPr="00593D83">
        <w:t xml:space="preserve">technically feasible today without a significant overhaul of pipelines or appliances </w:t>
      </w:r>
      <w:r w:rsidRPr="000A350E">
        <w:t>containing 10-20</w:t>
      </w:r>
      <w:r>
        <w:t xml:space="preserve"> vol</w:t>
      </w:r>
      <w:r w:rsidR="00EB35DC">
        <w:t xml:space="preserve"> </w:t>
      </w:r>
      <w:r w:rsidRPr="000A350E">
        <w:t>% of</w:t>
      </w:r>
      <w:r>
        <w:t xml:space="preserve"> </w:t>
      </w:r>
      <w:r w:rsidRPr="000A350E">
        <w:t>hydrogen.</w:t>
      </w:r>
      <w:bookmarkStart w:id="15" w:name="_Hlk94539277"/>
    </w:p>
    <w:bookmarkEnd w:id="15"/>
    <w:p w14:paraId="01C6D888" w14:textId="31946A7C" w:rsidR="00DD0D07" w:rsidRPr="000A350E" w:rsidRDefault="00DD0D07" w:rsidP="00F668C6">
      <w:pPr>
        <w:spacing w:line="276" w:lineRule="auto"/>
        <w:jc w:val="both"/>
      </w:pPr>
      <w:r w:rsidRPr="000A350E">
        <w:t xml:space="preserve">In terms of policies, one of the </w:t>
      </w:r>
      <w:r>
        <w:t>critical</w:t>
      </w:r>
      <w:r w:rsidRPr="000A350E">
        <w:t xml:space="preserve"> issues is the</w:t>
      </w:r>
      <w:r>
        <w:t xml:space="preserve"> </w:t>
      </w:r>
      <w:r w:rsidRPr="000A350E">
        <w:t>maximum legal or safely acceptable hydrogen</w:t>
      </w:r>
      <w:r>
        <w:t xml:space="preserve"> </w:t>
      </w:r>
      <w:r w:rsidRPr="000A350E">
        <w:t>concentration in the natural gas distribution or</w:t>
      </w:r>
      <w:r>
        <w:t xml:space="preserve"> </w:t>
      </w:r>
      <w:r w:rsidRPr="000A350E">
        <w:t>transmission network. Germany has the highest</w:t>
      </w:r>
      <w:r>
        <w:t xml:space="preserve"> </w:t>
      </w:r>
      <w:r w:rsidRPr="000A350E">
        <w:t xml:space="preserve">legal concentration of hydrogen in </w:t>
      </w:r>
      <w:r>
        <w:t xml:space="preserve">the </w:t>
      </w:r>
      <w:r w:rsidRPr="000A350E">
        <w:t>transmission</w:t>
      </w:r>
      <w:r>
        <w:t xml:space="preserve"> </w:t>
      </w:r>
      <w:r w:rsidRPr="000A350E">
        <w:t>network at 10</w:t>
      </w:r>
      <w:r>
        <w:t xml:space="preserve"> vol</w:t>
      </w:r>
      <w:r w:rsidR="000D4262">
        <w:t xml:space="preserve"> </w:t>
      </w:r>
      <w:r w:rsidRPr="000A350E">
        <w:t xml:space="preserve">% </w:t>
      </w:r>
      <w:r>
        <w:t xml:space="preserve">(under certain conditions), </w:t>
      </w:r>
      <w:r w:rsidRPr="000A350E">
        <w:t>while in Czech</w:t>
      </w:r>
      <w:r w:rsidR="00EB35DC">
        <w:t xml:space="preserve"> Republic</w:t>
      </w:r>
      <w:r>
        <w:t>,</w:t>
      </w:r>
      <w:r w:rsidRPr="000A350E">
        <w:t xml:space="preserve"> the legal limit is 0</w:t>
      </w:r>
      <w:r>
        <w:t xml:space="preserve"> vol</w:t>
      </w:r>
      <w:r w:rsidR="00EB35DC">
        <w:t xml:space="preserve"> </w:t>
      </w:r>
      <w:r w:rsidRPr="000A350E">
        <w:t>%</w:t>
      </w:r>
      <w:r>
        <w:t xml:space="preserve"> </w:t>
      </w:r>
      <w:r w:rsidRPr="008255FD">
        <w:rPr>
          <w:b/>
          <w:bCs/>
          <w:color w:val="007AAE"/>
        </w:rPr>
        <w:fldChar w:fldCharType="begin"/>
      </w:r>
      <w:r w:rsidRPr="008255FD">
        <w:rPr>
          <w:b/>
          <w:bCs/>
          <w:color w:val="007AAE"/>
        </w:rPr>
        <w:instrText xml:space="preserve"> REF _Ref96613545 \r \h  \* MERGEFORMAT </w:instrText>
      </w:r>
      <w:r w:rsidRPr="008255FD">
        <w:rPr>
          <w:b/>
          <w:bCs/>
          <w:color w:val="007AAE"/>
        </w:rPr>
      </w:r>
      <w:r w:rsidRPr="008255FD">
        <w:rPr>
          <w:b/>
          <w:bCs/>
          <w:color w:val="007AAE"/>
        </w:rPr>
        <w:fldChar w:fldCharType="separate"/>
      </w:r>
      <w:r>
        <w:rPr>
          <w:b/>
          <w:bCs/>
          <w:color w:val="007AAE"/>
        </w:rPr>
        <w:t>[5]</w:t>
      </w:r>
      <w:r w:rsidRPr="008255FD">
        <w:rPr>
          <w:b/>
          <w:bCs/>
          <w:color w:val="007AAE"/>
        </w:rPr>
        <w:fldChar w:fldCharType="end"/>
      </w:r>
      <w:r w:rsidRPr="000A350E">
        <w:t xml:space="preserve">. </w:t>
      </w:r>
      <w:r w:rsidRPr="000A350E">
        <w:rPr>
          <w:color w:val="007AAE"/>
        </w:rPr>
        <w:fldChar w:fldCharType="begin"/>
      </w:r>
      <w:r w:rsidRPr="000A350E">
        <w:rPr>
          <w:color w:val="007AAE"/>
        </w:rPr>
        <w:instrText xml:space="preserve"> REF _Ref94539241 \h  \* MERGEFORMAT </w:instrText>
      </w:r>
      <w:r w:rsidRPr="000A350E">
        <w:rPr>
          <w:color w:val="007AAE"/>
        </w:rPr>
      </w:r>
      <w:r w:rsidRPr="000A350E">
        <w:rPr>
          <w:color w:val="007AAE"/>
        </w:rPr>
        <w:fldChar w:fldCharType="separate"/>
      </w:r>
      <w:r w:rsidRPr="00186892">
        <w:rPr>
          <w:b/>
          <w:color w:val="007AAE"/>
        </w:rPr>
        <w:t>Figure 2</w:t>
      </w:r>
      <w:r w:rsidRPr="000A350E">
        <w:rPr>
          <w:color w:val="007AAE"/>
        </w:rPr>
        <w:fldChar w:fldCharType="end"/>
      </w:r>
      <w:r w:rsidRPr="000A350E">
        <w:t xml:space="preserve"> presents the maximum </w:t>
      </w:r>
      <w:r>
        <w:t>vol</w:t>
      </w:r>
      <w:r w:rsidR="000D4262">
        <w:t xml:space="preserve"> </w:t>
      </w:r>
      <w:r w:rsidRPr="000A350E">
        <w:t>% of</w:t>
      </w:r>
      <w:r>
        <w:t xml:space="preserve"> </w:t>
      </w:r>
      <w:r w:rsidRPr="000A350E">
        <w:t>hydrogen allowed in various European countries’</w:t>
      </w:r>
      <w:r>
        <w:t xml:space="preserve"> </w:t>
      </w:r>
      <w:r w:rsidRPr="000A350E">
        <w:t>transmission networks, either legally or according</w:t>
      </w:r>
      <w:r>
        <w:t xml:space="preserve"> </w:t>
      </w:r>
      <w:r w:rsidRPr="000A350E">
        <w:t>to national safety regulations.</w:t>
      </w:r>
    </w:p>
    <w:p w14:paraId="446D835E" w14:textId="77777777" w:rsidR="00DD0D07" w:rsidRDefault="00DD0D07" w:rsidP="00F668C6">
      <w:pPr>
        <w:spacing w:line="276" w:lineRule="auto"/>
        <w:ind w:left="1134"/>
        <w:jc w:val="both"/>
      </w:pPr>
    </w:p>
    <w:p w14:paraId="34F14DD4" w14:textId="27D4096B" w:rsidR="00DD0D07" w:rsidRDefault="00DD0D07" w:rsidP="00F668C6">
      <w:pPr>
        <w:spacing w:line="276" w:lineRule="auto"/>
        <w:jc w:val="both"/>
        <w:rPr>
          <w:b/>
          <w:color w:val="007AAE"/>
          <w:sz w:val="18"/>
          <w:szCs w:val="18"/>
        </w:rPr>
      </w:pPr>
    </w:p>
    <w:p w14:paraId="3B63C9AC" w14:textId="77777777" w:rsidR="00DD0D07" w:rsidRPr="009252DF" w:rsidRDefault="00DD0D07" w:rsidP="00F668C6">
      <w:pPr>
        <w:keepNext/>
        <w:spacing w:line="276" w:lineRule="auto"/>
        <w:jc w:val="both"/>
      </w:pPr>
      <w:r w:rsidRPr="009252DF">
        <w:rPr>
          <w:noProof/>
        </w:rPr>
        <w:lastRenderedPageBreak/>
        <w:drawing>
          <wp:inline distT="0" distB="0" distL="0" distR="0" wp14:anchorId="74EA71FD" wp14:editId="6123F277">
            <wp:extent cx="5400000" cy="3194369"/>
            <wp:effectExtent l="0" t="0" r="0" b="6350"/>
            <wp:docPr id="29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00" cy="3194369"/>
                    </a:xfrm>
                    <a:prstGeom prst="rect">
                      <a:avLst/>
                    </a:prstGeom>
                    <a:noFill/>
                  </pic:spPr>
                </pic:pic>
              </a:graphicData>
            </a:graphic>
          </wp:inline>
        </w:drawing>
      </w:r>
    </w:p>
    <w:p w14:paraId="7E3C9343" w14:textId="7EEC7C4A" w:rsidR="00DD0D07" w:rsidRPr="009252DF" w:rsidRDefault="00DD0D07" w:rsidP="00F668C6">
      <w:pPr>
        <w:spacing w:before="120" w:line="276" w:lineRule="auto"/>
        <w:ind w:left="2552" w:right="1134" w:hanging="1418"/>
        <w:jc w:val="both"/>
        <w:rPr>
          <w:sz w:val="18"/>
          <w:szCs w:val="18"/>
        </w:rPr>
      </w:pPr>
      <w:bookmarkStart w:id="16" w:name="_Ref94539241"/>
      <w:r w:rsidRPr="008742FB">
        <w:rPr>
          <w:b/>
          <w:color w:val="007AAE"/>
          <w:sz w:val="18"/>
          <w:szCs w:val="18"/>
        </w:rPr>
        <w:t xml:space="preserve">Figure </w:t>
      </w:r>
      <w:r w:rsidRPr="008742FB">
        <w:rPr>
          <w:b/>
          <w:color w:val="007AAE"/>
          <w:sz w:val="18"/>
          <w:szCs w:val="18"/>
        </w:rPr>
        <w:fldChar w:fldCharType="begin"/>
      </w:r>
      <w:r w:rsidRPr="008742FB">
        <w:rPr>
          <w:b/>
          <w:color w:val="007AAE"/>
          <w:sz w:val="18"/>
          <w:szCs w:val="18"/>
        </w:rPr>
        <w:instrText xml:space="preserve"> SEQ Figure \* ARABIC </w:instrText>
      </w:r>
      <w:r w:rsidRPr="008742FB">
        <w:rPr>
          <w:b/>
          <w:color w:val="007AAE"/>
          <w:sz w:val="18"/>
          <w:szCs w:val="18"/>
        </w:rPr>
        <w:fldChar w:fldCharType="separate"/>
      </w:r>
      <w:r w:rsidR="00EF1E54">
        <w:rPr>
          <w:b/>
          <w:noProof/>
          <w:color w:val="007AAE"/>
          <w:sz w:val="18"/>
          <w:szCs w:val="18"/>
        </w:rPr>
        <w:t>2</w:t>
      </w:r>
      <w:r w:rsidRPr="008742FB">
        <w:rPr>
          <w:b/>
          <w:color w:val="007AAE"/>
          <w:sz w:val="18"/>
          <w:szCs w:val="18"/>
        </w:rPr>
        <w:fldChar w:fldCharType="end"/>
      </w:r>
      <w:bookmarkEnd w:id="16"/>
      <w:r w:rsidRPr="008742FB">
        <w:rPr>
          <w:bCs/>
          <w:sz w:val="18"/>
          <w:szCs w:val="18"/>
        </w:rPr>
        <w:t>.-</w:t>
      </w:r>
      <w:r w:rsidRPr="009252DF">
        <w:rPr>
          <w:b/>
          <w:sz w:val="18"/>
          <w:szCs w:val="18"/>
        </w:rPr>
        <w:tab/>
      </w:r>
      <w:r w:rsidRPr="009252DF">
        <w:rPr>
          <w:sz w:val="18"/>
          <w:szCs w:val="18"/>
        </w:rPr>
        <w:t xml:space="preserve">Current limits </w:t>
      </w:r>
      <w:r>
        <w:rPr>
          <w:sz w:val="18"/>
          <w:szCs w:val="18"/>
        </w:rPr>
        <w:t>(vol</w:t>
      </w:r>
      <w:r w:rsidR="0087426E">
        <w:rPr>
          <w:sz w:val="18"/>
          <w:szCs w:val="18"/>
        </w:rPr>
        <w:t xml:space="preserve"> </w:t>
      </w:r>
      <w:r>
        <w:rPr>
          <w:sz w:val="18"/>
          <w:szCs w:val="18"/>
        </w:rPr>
        <w:t xml:space="preserve">%) </w:t>
      </w:r>
      <w:r w:rsidRPr="009252DF">
        <w:rPr>
          <w:sz w:val="18"/>
          <w:szCs w:val="18"/>
        </w:rPr>
        <w:t xml:space="preserve">on acceptable hydrogen concentrations in European </w:t>
      </w:r>
      <w:r>
        <w:rPr>
          <w:sz w:val="18"/>
          <w:szCs w:val="18"/>
        </w:rPr>
        <w:t xml:space="preserve">TSO </w:t>
      </w:r>
      <w:r w:rsidRPr="009252DF">
        <w:rPr>
          <w:sz w:val="18"/>
          <w:szCs w:val="18"/>
        </w:rPr>
        <w:t>gas grids.</w:t>
      </w:r>
      <w:r>
        <w:rPr>
          <w:sz w:val="18"/>
          <w:szCs w:val="18"/>
        </w:rPr>
        <w:t xml:space="preserve"> </w:t>
      </w:r>
      <w:r w:rsidRPr="002B413B">
        <w:rPr>
          <w:b/>
          <w:bCs/>
          <w:color w:val="007AAE"/>
          <w:sz w:val="18"/>
          <w:szCs w:val="18"/>
        </w:rPr>
        <w:fldChar w:fldCharType="begin"/>
      </w:r>
      <w:r w:rsidRPr="002B413B">
        <w:rPr>
          <w:b/>
          <w:bCs/>
          <w:color w:val="007AAE"/>
          <w:sz w:val="18"/>
          <w:szCs w:val="18"/>
        </w:rPr>
        <w:instrText xml:space="preserve"> REF _Ref96613545 \r \h </w:instrText>
      </w:r>
      <w:r>
        <w:rPr>
          <w:b/>
          <w:bCs/>
          <w:color w:val="007AAE"/>
          <w:sz w:val="18"/>
          <w:szCs w:val="18"/>
        </w:rPr>
        <w:instrText xml:space="preserve"> \* MERGEFORMAT </w:instrText>
      </w:r>
      <w:r w:rsidRPr="002B413B">
        <w:rPr>
          <w:b/>
          <w:bCs/>
          <w:color w:val="007AAE"/>
          <w:sz w:val="18"/>
          <w:szCs w:val="18"/>
        </w:rPr>
      </w:r>
      <w:r w:rsidRPr="002B413B">
        <w:rPr>
          <w:b/>
          <w:bCs/>
          <w:color w:val="007AAE"/>
          <w:sz w:val="18"/>
          <w:szCs w:val="18"/>
        </w:rPr>
        <w:fldChar w:fldCharType="separate"/>
      </w:r>
      <w:r>
        <w:rPr>
          <w:b/>
          <w:bCs/>
          <w:color w:val="007AAE"/>
          <w:sz w:val="18"/>
          <w:szCs w:val="18"/>
        </w:rPr>
        <w:t>[5]</w:t>
      </w:r>
      <w:r w:rsidRPr="002B413B">
        <w:rPr>
          <w:b/>
          <w:bCs/>
          <w:color w:val="007AAE"/>
          <w:sz w:val="18"/>
          <w:szCs w:val="18"/>
        </w:rPr>
        <w:fldChar w:fldCharType="end"/>
      </w:r>
    </w:p>
    <w:p w14:paraId="40FDC292" w14:textId="1BCBECDE" w:rsidR="00DD0D07" w:rsidRDefault="00991E76" w:rsidP="00F668C6">
      <w:pPr>
        <w:spacing w:line="276" w:lineRule="auto"/>
        <w:jc w:val="both"/>
      </w:pPr>
      <w:r>
        <w:t>Regarding</w:t>
      </w:r>
      <w:r w:rsidR="00DD0D07">
        <w:t xml:space="preserve"> European plans, </w:t>
      </w:r>
      <w:r w:rsidR="00DD0D07" w:rsidRPr="00692536">
        <w:t>Portugal plans for a 10-15</w:t>
      </w:r>
      <w:r w:rsidR="00DD0D07">
        <w:t xml:space="preserve"> </w:t>
      </w:r>
      <w:r w:rsidR="00DD0D07" w:rsidRPr="00692536">
        <w:t>%</w:t>
      </w:r>
      <w:r>
        <w:t xml:space="preserve"> </w:t>
      </w:r>
      <w:r w:rsidR="00DD0D07">
        <w:t>volume</w:t>
      </w:r>
      <w:r w:rsidR="00DD0D07" w:rsidRPr="00692536">
        <w:t xml:space="preserve"> ratio of hydrogen on</w:t>
      </w:r>
      <w:r w:rsidR="00DD0D07">
        <w:t xml:space="preserve"> </w:t>
      </w:r>
      <w:r w:rsidR="00DD0D07" w:rsidRPr="00692536">
        <w:t>the natural gas network by 2030, making it the only</w:t>
      </w:r>
      <w:r w:rsidR="00DD0D07">
        <w:t xml:space="preserve"> </w:t>
      </w:r>
      <w:r w:rsidR="00DD0D07" w:rsidRPr="00692536">
        <w:t xml:space="preserve">EU country that set itself a target of this kind. </w:t>
      </w:r>
      <w:r w:rsidR="00DD0D07">
        <w:t xml:space="preserve">As a reference, </w:t>
      </w:r>
      <w:r w:rsidR="00DD0D07" w:rsidRPr="00692536">
        <w:t>Germany,</w:t>
      </w:r>
      <w:r w:rsidR="00DD0D07">
        <w:t xml:space="preserve"> </w:t>
      </w:r>
      <w:r w:rsidR="00DD0D07" w:rsidRPr="00692536">
        <w:t xml:space="preserve">Spain, </w:t>
      </w:r>
      <w:r w:rsidR="00DD0D07">
        <w:t>T</w:t>
      </w:r>
      <w:r w:rsidR="00DD0D07" w:rsidRPr="00692536">
        <w:t>he Netherlands, and France are also</w:t>
      </w:r>
      <w:r w:rsidR="00DD0D07">
        <w:t xml:space="preserve"> </w:t>
      </w:r>
      <w:r w:rsidR="00DD0D07" w:rsidRPr="00692536">
        <w:t xml:space="preserve">studying the possibilities to retrofit and use </w:t>
      </w:r>
      <w:r w:rsidR="00DD0D07" w:rsidRPr="00593D83">
        <w:t xml:space="preserve">existing infrastructures, dedicating them either to pure hydrogen transport or </w:t>
      </w:r>
      <w:r w:rsidR="00DD0D07" w:rsidRPr="00692536">
        <w:t>blending with natural gas.</w:t>
      </w:r>
      <w:r w:rsidR="00DD0D07">
        <w:t xml:space="preserve"> The construction</w:t>
      </w:r>
      <w:r w:rsidR="00DD0D07" w:rsidRPr="00692536">
        <w:t xml:space="preserve"> of new networks of pipelines is also</w:t>
      </w:r>
      <w:r w:rsidR="00DD0D07">
        <w:t xml:space="preserve"> </w:t>
      </w:r>
      <w:r w:rsidR="00DD0D07" w:rsidRPr="00692536">
        <w:t>being considered</w:t>
      </w:r>
      <w:r w:rsidR="00DD0D07">
        <w:t xml:space="preserve"> (</w:t>
      </w:r>
      <w:r w:rsidR="00DD0D07" w:rsidRPr="008742FB">
        <w:fldChar w:fldCharType="begin"/>
      </w:r>
      <w:r w:rsidR="00DD0D07" w:rsidRPr="008742FB">
        <w:instrText xml:space="preserve"> REF _Ref94540722 \h </w:instrText>
      </w:r>
      <w:r w:rsidR="00DD0D07">
        <w:instrText xml:space="preserve"> \* MERGEFORMAT </w:instrText>
      </w:r>
      <w:r w:rsidR="00DD0D07" w:rsidRPr="008742FB">
        <w:fldChar w:fldCharType="separate"/>
      </w:r>
      <w:r w:rsidR="00DD0D07" w:rsidRPr="00186892">
        <w:rPr>
          <w:b/>
          <w:color w:val="007AAE"/>
        </w:rPr>
        <w:t>Table 1</w:t>
      </w:r>
      <w:r w:rsidR="00DD0D07" w:rsidRPr="008742FB">
        <w:fldChar w:fldCharType="end"/>
      </w:r>
      <w:r w:rsidR="00DD0D07">
        <w:t>)</w:t>
      </w:r>
      <w:r w:rsidR="00DD0D07" w:rsidRPr="00692536">
        <w:t>.</w:t>
      </w:r>
    </w:p>
    <w:p w14:paraId="3CDF41E7" w14:textId="77777777" w:rsidR="00DD0D07" w:rsidRPr="008742FB" w:rsidRDefault="00DD0D07" w:rsidP="00F668C6">
      <w:pPr>
        <w:spacing w:line="276" w:lineRule="auto"/>
        <w:jc w:val="both"/>
      </w:pPr>
    </w:p>
    <w:p w14:paraId="5BEFFECD" w14:textId="59A43124" w:rsidR="00DD0D07" w:rsidRDefault="00DD0D07" w:rsidP="00F668C6">
      <w:pPr>
        <w:spacing w:line="276" w:lineRule="auto"/>
        <w:ind w:left="2552" w:right="1134" w:hanging="1418"/>
        <w:jc w:val="both"/>
        <w:rPr>
          <w:bCs/>
          <w:sz w:val="18"/>
          <w:szCs w:val="18"/>
        </w:rPr>
      </w:pPr>
      <w:bookmarkStart w:id="17" w:name="_Ref94540722"/>
      <w:r w:rsidRPr="00676798">
        <w:rPr>
          <w:b/>
          <w:color w:val="007AAE"/>
          <w:sz w:val="18"/>
          <w:szCs w:val="18"/>
        </w:rPr>
        <w:t xml:space="preserve">Table </w:t>
      </w:r>
      <w:r w:rsidRPr="008742FB">
        <w:rPr>
          <w:b/>
          <w:color w:val="007AAE"/>
          <w:sz w:val="18"/>
          <w:szCs w:val="18"/>
          <w:lang w:val="es-ES_tradnl"/>
        </w:rPr>
        <w:fldChar w:fldCharType="begin"/>
      </w:r>
      <w:r w:rsidRPr="00676798">
        <w:rPr>
          <w:b/>
          <w:color w:val="007AAE"/>
          <w:sz w:val="18"/>
          <w:szCs w:val="18"/>
        </w:rPr>
        <w:instrText xml:space="preserve"> SEQ Table \* ARABIC </w:instrText>
      </w:r>
      <w:r w:rsidRPr="008742FB">
        <w:rPr>
          <w:b/>
          <w:color w:val="007AAE"/>
          <w:sz w:val="18"/>
          <w:szCs w:val="18"/>
          <w:lang w:val="es-ES_tradnl"/>
        </w:rPr>
        <w:fldChar w:fldCharType="separate"/>
      </w:r>
      <w:r>
        <w:rPr>
          <w:b/>
          <w:noProof/>
          <w:color w:val="007AAE"/>
          <w:sz w:val="18"/>
          <w:szCs w:val="18"/>
        </w:rPr>
        <w:t>1</w:t>
      </w:r>
      <w:r w:rsidRPr="008742FB">
        <w:rPr>
          <w:b/>
          <w:color w:val="007AAE"/>
          <w:sz w:val="18"/>
          <w:szCs w:val="18"/>
          <w:lang w:val="es-ES_tradnl"/>
        </w:rPr>
        <w:fldChar w:fldCharType="end"/>
      </w:r>
      <w:bookmarkEnd w:id="17"/>
      <w:r w:rsidRPr="00676798">
        <w:rPr>
          <w:bCs/>
          <w:sz w:val="18"/>
          <w:szCs w:val="18"/>
        </w:rPr>
        <w:t>.-</w:t>
      </w:r>
      <w:r w:rsidRPr="00676798">
        <w:rPr>
          <w:bCs/>
          <w:sz w:val="18"/>
          <w:szCs w:val="18"/>
        </w:rPr>
        <w:tab/>
        <w:t xml:space="preserve">National strategies for </w:t>
      </w:r>
      <w:r>
        <w:rPr>
          <w:bCs/>
          <w:sz w:val="18"/>
          <w:szCs w:val="18"/>
        </w:rPr>
        <w:t xml:space="preserve">hydrogen </w:t>
      </w:r>
      <w:r w:rsidR="0077687E">
        <w:rPr>
          <w:bCs/>
          <w:sz w:val="18"/>
          <w:szCs w:val="18"/>
        </w:rPr>
        <w:t>i</w:t>
      </w:r>
      <w:r>
        <w:rPr>
          <w:bCs/>
          <w:sz w:val="18"/>
          <w:szCs w:val="18"/>
        </w:rPr>
        <w:t xml:space="preserve">n the natural gas grid </w:t>
      </w:r>
      <w:r w:rsidRPr="002B413B">
        <w:rPr>
          <w:b/>
          <w:color w:val="007AAE"/>
          <w:sz w:val="18"/>
          <w:szCs w:val="18"/>
        </w:rPr>
        <w:fldChar w:fldCharType="begin"/>
      </w:r>
      <w:r w:rsidRPr="002B413B">
        <w:rPr>
          <w:b/>
          <w:color w:val="007AAE"/>
          <w:sz w:val="18"/>
          <w:szCs w:val="18"/>
        </w:rPr>
        <w:instrText xml:space="preserve"> REF _Ref96613545 \r \h  \* MERGEFORMAT </w:instrText>
      </w:r>
      <w:r w:rsidRPr="002B413B">
        <w:rPr>
          <w:b/>
          <w:color w:val="007AAE"/>
          <w:sz w:val="18"/>
          <w:szCs w:val="18"/>
        </w:rPr>
      </w:r>
      <w:r w:rsidRPr="002B413B">
        <w:rPr>
          <w:b/>
          <w:color w:val="007AAE"/>
          <w:sz w:val="18"/>
          <w:szCs w:val="18"/>
        </w:rPr>
        <w:fldChar w:fldCharType="separate"/>
      </w:r>
      <w:r>
        <w:rPr>
          <w:b/>
          <w:color w:val="007AAE"/>
          <w:sz w:val="18"/>
          <w:szCs w:val="18"/>
        </w:rPr>
        <w:t>[5]</w:t>
      </w:r>
      <w:r w:rsidRPr="002B413B">
        <w:rPr>
          <w:b/>
          <w:color w:val="007AAE"/>
          <w:sz w:val="18"/>
          <w:szCs w:val="18"/>
        </w:rPr>
        <w:fldChar w:fldCharType="end"/>
      </w:r>
    </w:p>
    <w:p w14:paraId="210EEE0B" w14:textId="77777777" w:rsidR="00DD0D07" w:rsidRPr="00E93E17" w:rsidRDefault="00DD0D07" w:rsidP="00F668C6">
      <w:pPr>
        <w:spacing w:after="120" w:line="276" w:lineRule="auto"/>
        <w:ind w:left="2835" w:right="1134"/>
        <w:jc w:val="both"/>
        <w:rPr>
          <w:bCs/>
          <w:sz w:val="18"/>
          <w:szCs w:val="18"/>
        </w:rPr>
      </w:pPr>
      <w:r w:rsidRPr="00E93E17">
        <w:rPr>
          <w:sz w:val="16"/>
          <w:szCs w:val="18"/>
          <w:vertAlign w:val="superscript"/>
        </w:rPr>
        <w:t>(1)</w:t>
      </w:r>
      <w:r w:rsidRPr="00E93E17">
        <w:rPr>
          <w:sz w:val="16"/>
          <w:szCs w:val="18"/>
        </w:rPr>
        <w:t xml:space="preserve"> Roadmap for </w:t>
      </w:r>
      <w:r>
        <w:rPr>
          <w:sz w:val="16"/>
          <w:szCs w:val="18"/>
        </w:rPr>
        <w:t xml:space="preserve">the </w:t>
      </w:r>
      <w:r w:rsidRPr="00E93E17">
        <w:rPr>
          <w:sz w:val="16"/>
          <w:szCs w:val="18"/>
        </w:rPr>
        <w:t>long</w:t>
      </w:r>
      <w:r>
        <w:rPr>
          <w:sz w:val="16"/>
          <w:szCs w:val="18"/>
        </w:rPr>
        <w:t>-</w:t>
      </w:r>
      <w:r w:rsidRPr="00E93E17">
        <w:rPr>
          <w:sz w:val="16"/>
          <w:szCs w:val="18"/>
        </w:rPr>
        <w:t xml:space="preserve">term considers 40-50 % of hydrogen in 2040 </w:t>
      </w:r>
      <w:r>
        <w:rPr>
          <w:sz w:val="16"/>
          <w:szCs w:val="18"/>
        </w:rPr>
        <w:t>and 75-80 % in 2050</w:t>
      </w:r>
      <w:r w:rsidRPr="00E93E17">
        <w:rPr>
          <w:sz w:val="16"/>
          <w:szCs w:val="18"/>
        </w:rPr>
        <w:t xml:space="preserve">. The difference to 100 % will be </w:t>
      </w:r>
      <w:r>
        <w:rPr>
          <w:sz w:val="16"/>
          <w:szCs w:val="18"/>
        </w:rPr>
        <w:t xml:space="preserve">supplied through </w:t>
      </w:r>
      <w:r w:rsidRPr="00E93E17">
        <w:rPr>
          <w:sz w:val="16"/>
          <w:szCs w:val="18"/>
        </w:rPr>
        <w:t>other renewable gases (biomethane).</w:t>
      </w:r>
    </w:p>
    <w:tbl>
      <w:tblPr>
        <w:tblStyle w:val="TableGrid"/>
        <w:tblW w:w="9355" w:type="dxa"/>
        <w:jc w:val="center"/>
        <w:tblLook w:val="04A0" w:firstRow="1" w:lastRow="0" w:firstColumn="1" w:lastColumn="0" w:noHBand="0" w:noVBand="1"/>
      </w:tblPr>
      <w:tblGrid>
        <w:gridCol w:w="1701"/>
        <w:gridCol w:w="850"/>
        <w:gridCol w:w="2268"/>
        <w:gridCol w:w="2268"/>
        <w:gridCol w:w="2268"/>
      </w:tblGrid>
      <w:tr w:rsidR="00DD0D07" w:rsidRPr="00956D66" w14:paraId="0518D4DB" w14:textId="77777777" w:rsidTr="000A602C">
        <w:trPr>
          <w:trHeight w:val="397"/>
          <w:jc w:val="center"/>
        </w:trPr>
        <w:tc>
          <w:tcPr>
            <w:tcW w:w="2551" w:type="dxa"/>
            <w:gridSpan w:val="2"/>
            <w:tcBorders>
              <w:top w:val="nil"/>
              <w:left w:val="nil"/>
              <w:bottom w:val="single" w:sz="12" w:space="0" w:color="auto"/>
              <w:right w:val="nil"/>
            </w:tcBorders>
            <w:shd w:val="clear" w:color="auto" w:fill="D9D9D9" w:themeFill="background1" w:themeFillShade="D9"/>
          </w:tcPr>
          <w:p w14:paraId="54CEE13B" w14:textId="77777777" w:rsidR="00DD0D07" w:rsidRPr="000A602C" w:rsidRDefault="00DD0D07" w:rsidP="000A602C">
            <w:pPr>
              <w:autoSpaceDE w:val="0"/>
              <w:autoSpaceDN w:val="0"/>
              <w:adjustRightInd w:val="0"/>
              <w:jc w:val="center"/>
              <w:rPr>
                <w:rFonts w:cs="Verdana"/>
                <w:b/>
                <w:bCs/>
                <w:sz w:val="16"/>
                <w:szCs w:val="16"/>
                <w:lang w:eastAsia="es-ES"/>
              </w:rPr>
            </w:pPr>
            <w:r w:rsidRPr="000A602C">
              <w:rPr>
                <w:rFonts w:cs="Verdana"/>
                <w:b/>
                <w:bCs/>
                <w:sz w:val="16"/>
                <w:szCs w:val="16"/>
                <w:lang w:eastAsia="es-ES"/>
              </w:rPr>
              <w:t>Country</w:t>
            </w:r>
          </w:p>
        </w:tc>
        <w:tc>
          <w:tcPr>
            <w:tcW w:w="2268" w:type="dxa"/>
            <w:tcBorders>
              <w:top w:val="nil"/>
              <w:left w:val="nil"/>
              <w:bottom w:val="single" w:sz="12" w:space="0" w:color="auto"/>
              <w:right w:val="nil"/>
            </w:tcBorders>
            <w:shd w:val="clear" w:color="auto" w:fill="D9D9D9" w:themeFill="background1" w:themeFillShade="D9"/>
          </w:tcPr>
          <w:p w14:paraId="1FA367FB" w14:textId="10E18D1A" w:rsidR="00DD0D07" w:rsidRPr="000A602C" w:rsidRDefault="00DD0D07" w:rsidP="000A602C">
            <w:pPr>
              <w:autoSpaceDE w:val="0"/>
              <w:autoSpaceDN w:val="0"/>
              <w:adjustRightInd w:val="0"/>
              <w:jc w:val="center"/>
              <w:rPr>
                <w:rFonts w:cs="Verdana"/>
                <w:b/>
                <w:bCs/>
                <w:sz w:val="16"/>
                <w:szCs w:val="16"/>
                <w:lang w:eastAsia="es-ES"/>
              </w:rPr>
            </w:pPr>
            <w:r w:rsidRPr="000A602C">
              <w:rPr>
                <w:rFonts w:cs="Verdana"/>
                <w:b/>
                <w:bCs/>
                <w:sz w:val="16"/>
                <w:szCs w:val="16"/>
                <w:lang w:eastAsia="es-ES"/>
              </w:rPr>
              <w:t>Ratio of hydrogen in natural gas network</w:t>
            </w:r>
            <w:r w:rsidR="00AA1269">
              <w:rPr>
                <w:rFonts w:cs="Verdana"/>
                <w:b/>
                <w:bCs/>
                <w:sz w:val="16"/>
                <w:szCs w:val="16"/>
                <w:lang w:eastAsia="es-ES"/>
              </w:rPr>
              <w:t>s</w:t>
            </w:r>
          </w:p>
        </w:tc>
        <w:tc>
          <w:tcPr>
            <w:tcW w:w="2268" w:type="dxa"/>
            <w:tcBorders>
              <w:top w:val="nil"/>
              <w:left w:val="nil"/>
              <w:bottom w:val="single" w:sz="12" w:space="0" w:color="auto"/>
              <w:right w:val="nil"/>
            </w:tcBorders>
            <w:shd w:val="clear" w:color="auto" w:fill="D9D9D9" w:themeFill="background1" w:themeFillShade="D9"/>
          </w:tcPr>
          <w:p w14:paraId="5AD8CFF7" w14:textId="16B73EC5" w:rsidR="00DD0D07" w:rsidRPr="000A602C" w:rsidRDefault="00DD0D07" w:rsidP="000A602C">
            <w:pPr>
              <w:autoSpaceDE w:val="0"/>
              <w:autoSpaceDN w:val="0"/>
              <w:adjustRightInd w:val="0"/>
              <w:jc w:val="center"/>
              <w:rPr>
                <w:rFonts w:cs="Verdana"/>
                <w:b/>
                <w:bCs/>
                <w:sz w:val="16"/>
                <w:szCs w:val="16"/>
                <w:lang w:eastAsia="es-ES"/>
              </w:rPr>
            </w:pPr>
            <w:r w:rsidRPr="000A602C">
              <w:rPr>
                <w:rFonts w:cs="Verdana"/>
                <w:b/>
                <w:bCs/>
                <w:sz w:val="16"/>
                <w:szCs w:val="16"/>
                <w:lang w:eastAsia="es-ES"/>
              </w:rPr>
              <w:t>Consider</w:t>
            </w:r>
            <w:r w:rsidR="000A602C" w:rsidRPr="000A602C">
              <w:rPr>
                <w:rFonts w:cs="Verdana"/>
                <w:b/>
                <w:bCs/>
                <w:sz w:val="16"/>
                <w:szCs w:val="16"/>
                <w:lang w:eastAsia="es-ES"/>
              </w:rPr>
              <w:t xml:space="preserve">s </w:t>
            </w:r>
            <w:r w:rsidRPr="000A602C">
              <w:rPr>
                <w:rFonts w:cs="Verdana"/>
                <w:b/>
                <w:bCs/>
                <w:sz w:val="16"/>
                <w:szCs w:val="16"/>
                <w:lang w:eastAsia="es-ES"/>
              </w:rPr>
              <w:t>injecting hydrogen into the natural gas network</w:t>
            </w:r>
          </w:p>
          <w:p w14:paraId="4AAF1105" w14:textId="77777777" w:rsidR="00DD0D07" w:rsidRPr="000A602C" w:rsidRDefault="00DD0D07" w:rsidP="000A602C">
            <w:pPr>
              <w:autoSpaceDE w:val="0"/>
              <w:autoSpaceDN w:val="0"/>
              <w:adjustRightInd w:val="0"/>
              <w:jc w:val="center"/>
              <w:rPr>
                <w:rFonts w:cs="Verdana"/>
                <w:b/>
                <w:bCs/>
                <w:sz w:val="16"/>
                <w:szCs w:val="16"/>
                <w:lang w:eastAsia="es-ES"/>
              </w:rPr>
            </w:pPr>
            <w:r w:rsidRPr="000A602C">
              <w:rPr>
                <w:rFonts w:cs="Verdana"/>
                <w:b/>
                <w:bCs/>
                <w:sz w:val="16"/>
                <w:szCs w:val="16"/>
                <w:lang w:eastAsia="es-ES"/>
              </w:rPr>
              <w:t>(</w:t>
            </w:r>
            <w:proofErr w:type="gramStart"/>
            <w:r w:rsidRPr="000A602C">
              <w:rPr>
                <w:rFonts w:cs="Verdana"/>
                <w:b/>
                <w:bCs/>
                <w:sz w:val="16"/>
                <w:szCs w:val="16"/>
                <w:lang w:eastAsia="es-ES"/>
              </w:rPr>
              <w:t>blending</w:t>
            </w:r>
            <w:proofErr w:type="gramEnd"/>
            <w:r w:rsidRPr="000A602C">
              <w:rPr>
                <w:rFonts w:cs="Verdana"/>
                <w:b/>
                <w:bCs/>
                <w:sz w:val="16"/>
                <w:szCs w:val="16"/>
                <w:lang w:eastAsia="es-ES"/>
              </w:rPr>
              <w:t xml:space="preserve"> and/or pure hydrogen)</w:t>
            </w:r>
          </w:p>
        </w:tc>
        <w:tc>
          <w:tcPr>
            <w:tcW w:w="2268" w:type="dxa"/>
            <w:tcBorders>
              <w:top w:val="nil"/>
              <w:left w:val="nil"/>
              <w:bottom w:val="single" w:sz="12" w:space="0" w:color="auto"/>
              <w:right w:val="nil"/>
            </w:tcBorders>
            <w:shd w:val="clear" w:color="auto" w:fill="D9D9D9" w:themeFill="background1" w:themeFillShade="D9"/>
          </w:tcPr>
          <w:p w14:paraId="392CC1F0" w14:textId="77777777" w:rsidR="00DD0D07" w:rsidRPr="000A602C" w:rsidRDefault="00DD0D07" w:rsidP="000A602C">
            <w:pPr>
              <w:autoSpaceDE w:val="0"/>
              <w:autoSpaceDN w:val="0"/>
              <w:adjustRightInd w:val="0"/>
              <w:jc w:val="center"/>
              <w:rPr>
                <w:rFonts w:cs="Verdana"/>
                <w:b/>
                <w:bCs/>
                <w:sz w:val="16"/>
                <w:szCs w:val="16"/>
                <w:lang w:eastAsia="es-ES"/>
              </w:rPr>
            </w:pPr>
            <w:r w:rsidRPr="000A602C">
              <w:rPr>
                <w:rFonts w:cs="Verdana"/>
                <w:b/>
                <w:bCs/>
                <w:sz w:val="16"/>
                <w:szCs w:val="16"/>
                <w:lang w:eastAsia="es-ES"/>
              </w:rPr>
              <w:t>Considers construction of new pipelines dedicated to hydrogen distribution</w:t>
            </w:r>
          </w:p>
        </w:tc>
      </w:tr>
      <w:tr w:rsidR="00DD0D07" w:rsidRPr="00AC391D" w14:paraId="1F0EC309" w14:textId="77777777" w:rsidTr="00B26C13">
        <w:trPr>
          <w:trHeight w:val="709"/>
          <w:jc w:val="center"/>
        </w:trPr>
        <w:tc>
          <w:tcPr>
            <w:tcW w:w="1701" w:type="dxa"/>
            <w:tcBorders>
              <w:top w:val="single" w:sz="12" w:space="0" w:color="auto"/>
              <w:left w:val="nil"/>
              <w:bottom w:val="single" w:sz="4" w:space="0" w:color="auto"/>
              <w:right w:val="nil"/>
            </w:tcBorders>
            <w:shd w:val="clear" w:color="auto" w:fill="auto"/>
            <w:vAlign w:val="center"/>
          </w:tcPr>
          <w:p w14:paraId="24AA7FAC" w14:textId="77777777" w:rsidR="00DD0D07" w:rsidRPr="008742FB" w:rsidRDefault="00DD0D07" w:rsidP="00F668C6">
            <w:pPr>
              <w:autoSpaceDE w:val="0"/>
              <w:autoSpaceDN w:val="0"/>
              <w:adjustRightInd w:val="0"/>
              <w:spacing w:before="60" w:after="60"/>
              <w:jc w:val="both"/>
              <w:rPr>
                <w:rFonts w:cs="Verdana"/>
                <w:sz w:val="16"/>
                <w:szCs w:val="16"/>
                <w:lang w:eastAsia="es-ES"/>
              </w:rPr>
            </w:pPr>
            <w:r>
              <w:rPr>
                <w:rFonts w:cs="Verdana"/>
                <w:sz w:val="16"/>
                <w:szCs w:val="16"/>
                <w:lang w:eastAsia="es-ES"/>
              </w:rPr>
              <w:t>France</w:t>
            </w:r>
          </w:p>
        </w:tc>
        <w:tc>
          <w:tcPr>
            <w:tcW w:w="850" w:type="dxa"/>
            <w:tcBorders>
              <w:top w:val="single" w:sz="12" w:space="0" w:color="auto"/>
              <w:left w:val="nil"/>
              <w:bottom w:val="single" w:sz="4" w:space="0" w:color="auto"/>
              <w:right w:val="nil"/>
            </w:tcBorders>
            <w:vAlign w:val="center"/>
          </w:tcPr>
          <w:p w14:paraId="3BF0A01C" w14:textId="77777777" w:rsidR="00DD0D07" w:rsidRDefault="00DD0D07" w:rsidP="00F668C6">
            <w:pPr>
              <w:autoSpaceDE w:val="0"/>
              <w:autoSpaceDN w:val="0"/>
              <w:adjustRightInd w:val="0"/>
              <w:spacing w:before="60" w:after="60"/>
              <w:jc w:val="both"/>
              <w:rPr>
                <w:sz w:val="16"/>
              </w:rPr>
            </w:pPr>
            <w:r w:rsidRPr="00DB4BB8">
              <w:rPr>
                <w:noProof/>
                <w:sz w:val="16"/>
                <w:szCs w:val="16"/>
                <w:lang w:eastAsia="es-ES"/>
              </w:rPr>
              <w:drawing>
                <wp:inline distT="0" distB="0" distL="0" distR="0" wp14:anchorId="021D1901" wp14:editId="3154FF53">
                  <wp:extent cx="345532" cy="360000"/>
                  <wp:effectExtent l="0" t="0" r="0" b="2540"/>
                  <wp:docPr id="2050" name="Imagen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5532" cy="360000"/>
                          </a:xfrm>
                          <a:prstGeom prst="rect">
                            <a:avLst/>
                          </a:prstGeom>
                          <a:noFill/>
                          <a:ln>
                            <a:noFill/>
                          </a:ln>
                        </pic:spPr>
                      </pic:pic>
                    </a:graphicData>
                  </a:graphic>
                </wp:inline>
              </w:drawing>
            </w:r>
          </w:p>
        </w:tc>
        <w:tc>
          <w:tcPr>
            <w:tcW w:w="2268" w:type="dxa"/>
            <w:tcBorders>
              <w:top w:val="single" w:sz="12" w:space="0" w:color="auto"/>
              <w:left w:val="nil"/>
              <w:bottom w:val="single" w:sz="4" w:space="0" w:color="auto"/>
              <w:right w:val="nil"/>
            </w:tcBorders>
            <w:vAlign w:val="center"/>
          </w:tcPr>
          <w:p w14:paraId="193B159C" w14:textId="77777777" w:rsidR="00DD0D07" w:rsidRPr="008742FB" w:rsidRDefault="00DD0D07" w:rsidP="00F668C6">
            <w:pPr>
              <w:autoSpaceDE w:val="0"/>
              <w:autoSpaceDN w:val="0"/>
              <w:adjustRightInd w:val="0"/>
              <w:spacing w:before="60" w:after="60"/>
              <w:jc w:val="both"/>
              <w:rPr>
                <w:sz w:val="16"/>
              </w:rPr>
            </w:pPr>
            <w:r>
              <w:rPr>
                <w:sz w:val="16"/>
              </w:rPr>
              <w:t>-</w:t>
            </w:r>
          </w:p>
        </w:tc>
        <w:tc>
          <w:tcPr>
            <w:tcW w:w="2268" w:type="dxa"/>
            <w:tcBorders>
              <w:top w:val="single" w:sz="12" w:space="0" w:color="auto"/>
              <w:left w:val="nil"/>
              <w:bottom w:val="single" w:sz="4" w:space="0" w:color="auto"/>
              <w:right w:val="nil"/>
            </w:tcBorders>
            <w:shd w:val="clear" w:color="auto" w:fill="9CB700"/>
            <w:vAlign w:val="center"/>
          </w:tcPr>
          <w:p w14:paraId="0AB8C76F" w14:textId="77777777" w:rsidR="00DD0D07" w:rsidRPr="008742FB" w:rsidRDefault="00DD0D07" w:rsidP="00F668C6">
            <w:pPr>
              <w:autoSpaceDE w:val="0"/>
              <w:autoSpaceDN w:val="0"/>
              <w:adjustRightInd w:val="0"/>
              <w:spacing w:before="60" w:after="60"/>
              <w:jc w:val="both"/>
              <w:rPr>
                <w:sz w:val="16"/>
              </w:rPr>
            </w:pPr>
          </w:p>
        </w:tc>
        <w:tc>
          <w:tcPr>
            <w:tcW w:w="2268" w:type="dxa"/>
            <w:tcBorders>
              <w:top w:val="single" w:sz="12" w:space="0" w:color="auto"/>
              <w:left w:val="nil"/>
              <w:bottom w:val="single" w:sz="4" w:space="0" w:color="auto"/>
              <w:right w:val="nil"/>
            </w:tcBorders>
            <w:vAlign w:val="center"/>
          </w:tcPr>
          <w:p w14:paraId="6DC7A4EB" w14:textId="77777777" w:rsidR="00DD0D07" w:rsidRPr="008742FB" w:rsidRDefault="00DD0D07" w:rsidP="00F668C6">
            <w:pPr>
              <w:autoSpaceDE w:val="0"/>
              <w:autoSpaceDN w:val="0"/>
              <w:adjustRightInd w:val="0"/>
              <w:spacing w:before="60" w:after="60"/>
              <w:jc w:val="both"/>
              <w:rPr>
                <w:rFonts w:cs="Verdana"/>
                <w:sz w:val="16"/>
                <w:szCs w:val="16"/>
                <w:lang w:eastAsia="es-ES"/>
              </w:rPr>
            </w:pPr>
            <w:r>
              <w:rPr>
                <w:rFonts w:cs="Verdana"/>
                <w:sz w:val="16"/>
                <w:szCs w:val="16"/>
                <w:lang w:eastAsia="es-ES"/>
              </w:rPr>
              <w:t>-</w:t>
            </w:r>
          </w:p>
        </w:tc>
      </w:tr>
      <w:tr w:rsidR="00DD0D07" w:rsidRPr="00AC391D" w14:paraId="1A340AE8" w14:textId="77777777" w:rsidTr="00B26C13">
        <w:trPr>
          <w:trHeight w:val="709"/>
          <w:jc w:val="center"/>
        </w:trPr>
        <w:tc>
          <w:tcPr>
            <w:tcW w:w="1701" w:type="dxa"/>
            <w:tcBorders>
              <w:top w:val="single" w:sz="4" w:space="0" w:color="auto"/>
              <w:left w:val="nil"/>
              <w:bottom w:val="single" w:sz="4" w:space="0" w:color="auto"/>
              <w:right w:val="nil"/>
            </w:tcBorders>
            <w:shd w:val="clear" w:color="auto" w:fill="auto"/>
            <w:vAlign w:val="center"/>
          </w:tcPr>
          <w:p w14:paraId="145CE6E5" w14:textId="77777777" w:rsidR="00DD0D07" w:rsidRPr="008742FB" w:rsidRDefault="00DD0D07" w:rsidP="00F668C6">
            <w:pPr>
              <w:autoSpaceDE w:val="0"/>
              <w:autoSpaceDN w:val="0"/>
              <w:adjustRightInd w:val="0"/>
              <w:spacing w:before="60" w:after="60"/>
              <w:jc w:val="both"/>
              <w:rPr>
                <w:rFonts w:cs="Verdana"/>
                <w:sz w:val="16"/>
                <w:szCs w:val="16"/>
                <w:lang w:eastAsia="es-ES"/>
              </w:rPr>
            </w:pPr>
            <w:r>
              <w:rPr>
                <w:rFonts w:cs="Verdana"/>
                <w:sz w:val="16"/>
                <w:szCs w:val="16"/>
                <w:lang w:eastAsia="es-ES"/>
              </w:rPr>
              <w:t>Germany</w:t>
            </w:r>
          </w:p>
        </w:tc>
        <w:tc>
          <w:tcPr>
            <w:tcW w:w="850" w:type="dxa"/>
            <w:tcBorders>
              <w:top w:val="single" w:sz="4" w:space="0" w:color="auto"/>
              <w:left w:val="nil"/>
              <w:bottom w:val="single" w:sz="4" w:space="0" w:color="auto"/>
              <w:right w:val="nil"/>
            </w:tcBorders>
            <w:vAlign w:val="center"/>
          </w:tcPr>
          <w:p w14:paraId="4B12A2A0" w14:textId="77777777" w:rsidR="00DD0D07" w:rsidRDefault="00DD0D07" w:rsidP="00F668C6">
            <w:pPr>
              <w:autoSpaceDE w:val="0"/>
              <w:autoSpaceDN w:val="0"/>
              <w:adjustRightInd w:val="0"/>
              <w:spacing w:before="60" w:after="60"/>
              <w:jc w:val="both"/>
              <w:rPr>
                <w:sz w:val="16"/>
              </w:rPr>
            </w:pPr>
            <w:r w:rsidRPr="00DB4BB8">
              <w:rPr>
                <w:noProof/>
                <w:sz w:val="16"/>
                <w:szCs w:val="16"/>
                <w:lang w:eastAsia="es-ES"/>
              </w:rPr>
              <w:drawing>
                <wp:inline distT="0" distB="0" distL="0" distR="0" wp14:anchorId="24D3E354" wp14:editId="6FC4E5A1">
                  <wp:extent cx="385525" cy="360000"/>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450" b="-1"/>
                          <a:stretch/>
                        </pic:blipFill>
                        <pic:spPr bwMode="auto">
                          <a:xfrm>
                            <a:off x="0" y="0"/>
                            <a:ext cx="385525" cy="3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tcBorders>
              <w:top w:val="single" w:sz="4" w:space="0" w:color="auto"/>
              <w:left w:val="nil"/>
              <w:bottom w:val="single" w:sz="4" w:space="0" w:color="auto"/>
              <w:right w:val="nil"/>
            </w:tcBorders>
            <w:vAlign w:val="center"/>
          </w:tcPr>
          <w:p w14:paraId="24F5C040" w14:textId="77777777" w:rsidR="00DD0D07" w:rsidRPr="008742FB" w:rsidRDefault="00DD0D07" w:rsidP="00F668C6">
            <w:pPr>
              <w:autoSpaceDE w:val="0"/>
              <w:autoSpaceDN w:val="0"/>
              <w:adjustRightInd w:val="0"/>
              <w:spacing w:before="60" w:after="60"/>
              <w:jc w:val="both"/>
              <w:rPr>
                <w:sz w:val="16"/>
              </w:rPr>
            </w:pPr>
            <w:r>
              <w:rPr>
                <w:sz w:val="16"/>
              </w:rPr>
              <w:t>-</w:t>
            </w:r>
          </w:p>
        </w:tc>
        <w:tc>
          <w:tcPr>
            <w:tcW w:w="2268" w:type="dxa"/>
            <w:tcBorders>
              <w:top w:val="single" w:sz="4" w:space="0" w:color="auto"/>
              <w:left w:val="nil"/>
              <w:bottom w:val="single" w:sz="4" w:space="0" w:color="auto"/>
              <w:right w:val="nil"/>
            </w:tcBorders>
            <w:shd w:val="clear" w:color="auto" w:fill="9CB700"/>
            <w:vAlign w:val="center"/>
          </w:tcPr>
          <w:p w14:paraId="02DD0EDA" w14:textId="77777777" w:rsidR="00DD0D07" w:rsidRPr="008742FB" w:rsidRDefault="00DD0D07" w:rsidP="00F668C6">
            <w:pPr>
              <w:autoSpaceDE w:val="0"/>
              <w:autoSpaceDN w:val="0"/>
              <w:adjustRightInd w:val="0"/>
              <w:spacing w:before="60" w:after="60"/>
              <w:jc w:val="both"/>
              <w:rPr>
                <w:sz w:val="16"/>
              </w:rPr>
            </w:pPr>
          </w:p>
        </w:tc>
        <w:tc>
          <w:tcPr>
            <w:tcW w:w="2268" w:type="dxa"/>
            <w:tcBorders>
              <w:top w:val="single" w:sz="4" w:space="0" w:color="auto"/>
              <w:left w:val="nil"/>
              <w:bottom w:val="single" w:sz="4" w:space="0" w:color="auto"/>
              <w:right w:val="nil"/>
            </w:tcBorders>
            <w:shd w:val="clear" w:color="auto" w:fill="9CB700"/>
            <w:vAlign w:val="center"/>
          </w:tcPr>
          <w:p w14:paraId="758F6C20" w14:textId="77777777" w:rsidR="00DD0D07" w:rsidRPr="008742FB" w:rsidRDefault="00DD0D07" w:rsidP="00F668C6">
            <w:pPr>
              <w:autoSpaceDE w:val="0"/>
              <w:autoSpaceDN w:val="0"/>
              <w:adjustRightInd w:val="0"/>
              <w:spacing w:before="60" w:after="60"/>
              <w:jc w:val="both"/>
              <w:rPr>
                <w:rFonts w:cs="Verdana"/>
                <w:sz w:val="16"/>
                <w:szCs w:val="16"/>
                <w:lang w:eastAsia="es-ES"/>
              </w:rPr>
            </w:pPr>
          </w:p>
        </w:tc>
      </w:tr>
      <w:tr w:rsidR="00DD0D07" w:rsidRPr="00AC391D" w14:paraId="4209BB5B" w14:textId="77777777" w:rsidTr="00B26C13">
        <w:trPr>
          <w:trHeight w:val="709"/>
          <w:jc w:val="center"/>
        </w:trPr>
        <w:tc>
          <w:tcPr>
            <w:tcW w:w="1701" w:type="dxa"/>
            <w:tcBorders>
              <w:top w:val="single" w:sz="4" w:space="0" w:color="auto"/>
              <w:left w:val="nil"/>
              <w:bottom w:val="single" w:sz="4" w:space="0" w:color="auto"/>
              <w:right w:val="nil"/>
            </w:tcBorders>
            <w:shd w:val="clear" w:color="auto" w:fill="auto"/>
            <w:vAlign w:val="center"/>
          </w:tcPr>
          <w:p w14:paraId="59931376" w14:textId="77777777" w:rsidR="00DD0D07" w:rsidRPr="008742FB" w:rsidRDefault="00DD0D07" w:rsidP="00F668C6">
            <w:pPr>
              <w:autoSpaceDE w:val="0"/>
              <w:autoSpaceDN w:val="0"/>
              <w:adjustRightInd w:val="0"/>
              <w:spacing w:before="60" w:after="60"/>
              <w:jc w:val="both"/>
              <w:rPr>
                <w:rFonts w:cs="Verdana"/>
                <w:sz w:val="16"/>
                <w:szCs w:val="16"/>
                <w:lang w:eastAsia="es-ES"/>
              </w:rPr>
            </w:pPr>
            <w:r>
              <w:rPr>
                <w:rFonts w:cs="Verdana"/>
                <w:sz w:val="16"/>
                <w:szCs w:val="16"/>
                <w:lang w:eastAsia="es-ES"/>
              </w:rPr>
              <w:t>The Netherlands</w:t>
            </w:r>
          </w:p>
        </w:tc>
        <w:tc>
          <w:tcPr>
            <w:tcW w:w="850" w:type="dxa"/>
            <w:tcBorders>
              <w:top w:val="single" w:sz="4" w:space="0" w:color="auto"/>
              <w:left w:val="nil"/>
              <w:bottom w:val="single" w:sz="4" w:space="0" w:color="auto"/>
              <w:right w:val="nil"/>
            </w:tcBorders>
            <w:vAlign w:val="center"/>
          </w:tcPr>
          <w:p w14:paraId="7A5E8402" w14:textId="77777777" w:rsidR="00DD0D07" w:rsidRDefault="00DD0D07" w:rsidP="00F668C6">
            <w:pPr>
              <w:autoSpaceDE w:val="0"/>
              <w:autoSpaceDN w:val="0"/>
              <w:adjustRightInd w:val="0"/>
              <w:spacing w:before="60" w:after="60"/>
              <w:jc w:val="both"/>
              <w:rPr>
                <w:sz w:val="16"/>
              </w:rPr>
            </w:pPr>
            <w:r w:rsidRPr="00DB4BB8">
              <w:rPr>
                <w:noProof/>
                <w:sz w:val="16"/>
                <w:szCs w:val="16"/>
                <w:lang w:eastAsia="es-ES"/>
              </w:rPr>
              <w:drawing>
                <wp:inline distT="0" distB="0" distL="0" distR="0" wp14:anchorId="6FAA42B4" wp14:editId="71CDDEE9">
                  <wp:extent cx="348458" cy="324000"/>
                  <wp:effectExtent l="0" t="0" r="0" b="0"/>
                  <wp:docPr id="2048" name="Imagen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8458" cy="324000"/>
                          </a:xfrm>
                          <a:prstGeom prst="rect">
                            <a:avLst/>
                          </a:prstGeom>
                          <a:noFill/>
                          <a:ln>
                            <a:noFill/>
                          </a:ln>
                        </pic:spPr>
                      </pic:pic>
                    </a:graphicData>
                  </a:graphic>
                </wp:inline>
              </w:drawing>
            </w:r>
          </w:p>
        </w:tc>
        <w:tc>
          <w:tcPr>
            <w:tcW w:w="2268" w:type="dxa"/>
            <w:tcBorders>
              <w:top w:val="single" w:sz="4" w:space="0" w:color="auto"/>
              <w:left w:val="nil"/>
              <w:bottom w:val="single" w:sz="4" w:space="0" w:color="auto"/>
              <w:right w:val="nil"/>
            </w:tcBorders>
            <w:vAlign w:val="center"/>
          </w:tcPr>
          <w:p w14:paraId="16FB4162" w14:textId="77777777" w:rsidR="00DD0D07" w:rsidRPr="008742FB" w:rsidRDefault="00DD0D07" w:rsidP="00F668C6">
            <w:pPr>
              <w:autoSpaceDE w:val="0"/>
              <w:autoSpaceDN w:val="0"/>
              <w:adjustRightInd w:val="0"/>
              <w:spacing w:before="60" w:after="60"/>
              <w:jc w:val="both"/>
              <w:rPr>
                <w:sz w:val="16"/>
              </w:rPr>
            </w:pPr>
            <w:r>
              <w:rPr>
                <w:sz w:val="16"/>
              </w:rPr>
              <w:t>-</w:t>
            </w:r>
          </w:p>
        </w:tc>
        <w:tc>
          <w:tcPr>
            <w:tcW w:w="2268" w:type="dxa"/>
            <w:tcBorders>
              <w:top w:val="single" w:sz="4" w:space="0" w:color="auto"/>
              <w:left w:val="nil"/>
              <w:bottom w:val="single" w:sz="4" w:space="0" w:color="auto"/>
              <w:right w:val="nil"/>
            </w:tcBorders>
            <w:shd w:val="clear" w:color="auto" w:fill="9CB700"/>
            <w:vAlign w:val="center"/>
          </w:tcPr>
          <w:p w14:paraId="4007FB6F" w14:textId="77777777" w:rsidR="00DD0D07" w:rsidRPr="008742FB" w:rsidRDefault="00DD0D07" w:rsidP="00F668C6">
            <w:pPr>
              <w:autoSpaceDE w:val="0"/>
              <w:autoSpaceDN w:val="0"/>
              <w:adjustRightInd w:val="0"/>
              <w:spacing w:before="60" w:after="60"/>
              <w:jc w:val="both"/>
              <w:rPr>
                <w:sz w:val="16"/>
              </w:rPr>
            </w:pPr>
          </w:p>
        </w:tc>
        <w:tc>
          <w:tcPr>
            <w:tcW w:w="2268" w:type="dxa"/>
            <w:tcBorders>
              <w:top w:val="single" w:sz="4" w:space="0" w:color="auto"/>
              <w:left w:val="nil"/>
              <w:bottom w:val="single" w:sz="4" w:space="0" w:color="auto"/>
              <w:right w:val="nil"/>
            </w:tcBorders>
            <w:shd w:val="clear" w:color="auto" w:fill="9CB700"/>
            <w:vAlign w:val="center"/>
          </w:tcPr>
          <w:p w14:paraId="0D4598F6" w14:textId="77777777" w:rsidR="00DD0D07" w:rsidRPr="008742FB" w:rsidRDefault="00DD0D07" w:rsidP="00F668C6">
            <w:pPr>
              <w:autoSpaceDE w:val="0"/>
              <w:autoSpaceDN w:val="0"/>
              <w:adjustRightInd w:val="0"/>
              <w:spacing w:before="60" w:after="60"/>
              <w:jc w:val="both"/>
              <w:rPr>
                <w:rFonts w:cs="Verdana"/>
                <w:sz w:val="16"/>
                <w:szCs w:val="16"/>
                <w:lang w:eastAsia="es-ES"/>
              </w:rPr>
            </w:pPr>
          </w:p>
        </w:tc>
      </w:tr>
      <w:tr w:rsidR="00DD0D07" w:rsidRPr="00AC391D" w14:paraId="06B2B8F8" w14:textId="77777777" w:rsidTr="00B26C13">
        <w:trPr>
          <w:trHeight w:val="709"/>
          <w:jc w:val="center"/>
        </w:trPr>
        <w:tc>
          <w:tcPr>
            <w:tcW w:w="1701" w:type="dxa"/>
            <w:tcBorders>
              <w:top w:val="single" w:sz="4" w:space="0" w:color="auto"/>
              <w:left w:val="nil"/>
              <w:bottom w:val="single" w:sz="4" w:space="0" w:color="auto"/>
              <w:right w:val="nil"/>
            </w:tcBorders>
            <w:shd w:val="clear" w:color="auto" w:fill="auto"/>
            <w:vAlign w:val="center"/>
          </w:tcPr>
          <w:p w14:paraId="0A656F6C" w14:textId="77777777" w:rsidR="00DD0D07" w:rsidRPr="008742FB" w:rsidRDefault="00DD0D07" w:rsidP="00F668C6">
            <w:pPr>
              <w:autoSpaceDE w:val="0"/>
              <w:autoSpaceDN w:val="0"/>
              <w:adjustRightInd w:val="0"/>
              <w:spacing w:before="60"/>
              <w:jc w:val="both"/>
              <w:rPr>
                <w:rFonts w:cs="Verdana"/>
                <w:sz w:val="16"/>
                <w:szCs w:val="16"/>
                <w:lang w:eastAsia="es-ES"/>
              </w:rPr>
            </w:pPr>
            <w:r>
              <w:rPr>
                <w:rFonts w:cs="Verdana"/>
                <w:sz w:val="16"/>
                <w:szCs w:val="16"/>
                <w:lang w:eastAsia="es-ES"/>
              </w:rPr>
              <w:t>Portugal</w:t>
            </w:r>
          </w:p>
        </w:tc>
        <w:tc>
          <w:tcPr>
            <w:tcW w:w="850" w:type="dxa"/>
            <w:tcBorders>
              <w:top w:val="single" w:sz="4" w:space="0" w:color="auto"/>
              <w:left w:val="nil"/>
              <w:bottom w:val="single" w:sz="4" w:space="0" w:color="auto"/>
              <w:right w:val="nil"/>
            </w:tcBorders>
            <w:vAlign w:val="center"/>
          </w:tcPr>
          <w:p w14:paraId="70704225" w14:textId="77777777" w:rsidR="00DD0D07" w:rsidRDefault="00DD0D07" w:rsidP="00F668C6">
            <w:pPr>
              <w:autoSpaceDE w:val="0"/>
              <w:autoSpaceDN w:val="0"/>
              <w:adjustRightInd w:val="0"/>
              <w:spacing w:before="60"/>
              <w:jc w:val="both"/>
              <w:rPr>
                <w:sz w:val="16"/>
              </w:rPr>
            </w:pPr>
            <w:r w:rsidRPr="00676798">
              <w:rPr>
                <w:noProof/>
              </w:rPr>
              <w:drawing>
                <wp:inline distT="0" distB="0" distL="0" distR="0" wp14:anchorId="01ED83AA" wp14:editId="0FE0BD58">
                  <wp:extent cx="181539" cy="360000"/>
                  <wp:effectExtent l="0" t="0" r="9525" b="2540"/>
                  <wp:docPr id="2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aturation sat="400000"/>
                                    </a14:imgEffect>
                                  </a14:imgLayer>
                                </a14:imgProps>
                              </a:ext>
                            </a:extLst>
                          </a:blip>
                          <a:stretch>
                            <a:fillRect/>
                          </a:stretch>
                        </pic:blipFill>
                        <pic:spPr>
                          <a:xfrm>
                            <a:off x="0" y="0"/>
                            <a:ext cx="181539" cy="360000"/>
                          </a:xfrm>
                          <a:prstGeom prst="rect">
                            <a:avLst/>
                          </a:prstGeom>
                        </pic:spPr>
                      </pic:pic>
                    </a:graphicData>
                  </a:graphic>
                </wp:inline>
              </w:drawing>
            </w:r>
          </w:p>
        </w:tc>
        <w:tc>
          <w:tcPr>
            <w:tcW w:w="2268" w:type="dxa"/>
            <w:tcBorders>
              <w:top w:val="single" w:sz="4" w:space="0" w:color="auto"/>
              <w:left w:val="nil"/>
              <w:bottom w:val="single" w:sz="4" w:space="0" w:color="auto"/>
              <w:right w:val="nil"/>
            </w:tcBorders>
            <w:vAlign w:val="center"/>
          </w:tcPr>
          <w:p w14:paraId="1DA68353" w14:textId="01C08601" w:rsidR="00DD0D07" w:rsidRDefault="00DD0D07" w:rsidP="00F668C6">
            <w:pPr>
              <w:autoSpaceDE w:val="0"/>
              <w:autoSpaceDN w:val="0"/>
              <w:adjustRightInd w:val="0"/>
              <w:spacing w:before="60"/>
              <w:jc w:val="both"/>
              <w:rPr>
                <w:sz w:val="16"/>
              </w:rPr>
            </w:pPr>
            <w:r>
              <w:rPr>
                <w:sz w:val="16"/>
              </w:rPr>
              <w:t>2025: 1-5 vol</w:t>
            </w:r>
            <w:r w:rsidR="00DD37D4">
              <w:rPr>
                <w:sz w:val="16"/>
              </w:rPr>
              <w:t xml:space="preserve"> </w:t>
            </w:r>
            <w:r>
              <w:rPr>
                <w:sz w:val="16"/>
              </w:rPr>
              <w:t>%</w:t>
            </w:r>
          </w:p>
          <w:p w14:paraId="1808C0A0" w14:textId="04F194DE" w:rsidR="00DD0D07" w:rsidRPr="008742FB" w:rsidRDefault="00DD0D07" w:rsidP="00F668C6">
            <w:pPr>
              <w:autoSpaceDE w:val="0"/>
              <w:autoSpaceDN w:val="0"/>
              <w:adjustRightInd w:val="0"/>
              <w:spacing w:before="60"/>
              <w:jc w:val="both"/>
              <w:rPr>
                <w:sz w:val="16"/>
              </w:rPr>
            </w:pPr>
            <w:r>
              <w:rPr>
                <w:sz w:val="16"/>
              </w:rPr>
              <w:t>2030: 10-15 vo</w:t>
            </w:r>
            <w:r w:rsidR="00DD37D4">
              <w:rPr>
                <w:sz w:val="16"/>
              </w:rPr>
              <w:t xml:space="preserve">l </w:t>
            </w:r>
            <w:r>
              <w:rPr>
                <w:sz w:val="16"/>
              </w:rPr>
              <w:t xml:space="preserve">% </w:t>
            </w:r>
            <w:r w:rsidRPr="00E93E17">
              <w:rPr>
                <w:sz w:val="16"/>
                <w:vertAlign w:val="superscript"/>
              </w:rPr>
              <w:t>(1)</w:t>
            </w:r>
          </w:p>
        </w:tc>
        <w:tc>
          <w:tcPr>
            <w:tcW w:w="2268" w:type="dxa"/>
            <w:tcBorders>
              <w:top w:val="single" w:sz="4" w:space="0" w:color="auto"/>
              <w:left w:val="nil"/>
              <w:bottom w:val="single" w:sz="4" w:space="0" w:color="auto"/>
              <w:right w:val="nil"/>
            </w:tcBorders>
            <w:shd w:val="clear" w:color="auto" w:fill="9CB700"/>
            <w:vAlign w:val="center"/>
          </w:tcPr>
          <w:p w14:paraId="22D279D1" w14:textId="77777777" w:rsidR="00DD0D07" w:rsidRPr="008742FB" w:rsidRDefault="00DD0D07" w:rsidP="00F668C6">
            <w:pPr>
              <w:autoSpaceDE w:val="0"/>
              <w:autoSpaceDN w:val="0"/>
              <w:adjustRightInd w:val="0"/>
              <w:spacing w:before="60"/>
              <w:jc w:val="both"/>
              <w:rPr>
                <w:sz w:val="16"/>
              </w:rPr>
            </w:pPr>
          </w:p>
        </w:tc>
        <w:tc>
          <w:tcPr>
            <w:tcW w:w="2268" w:type="dxa"/>
            <w:tcBorders>
              <w:top w:val="single" w:sz="4" w:space="0" w:color="auto"/>
              <w:left w:val="nil"/>
              <w:bottom w:val="single" w:sz="4" w:space="0" w:color="auto"/>
              <w:right w:val="nil"/>
            </w:tcBorders>
            <w:shd w:val="clear" w:color="auto" w:fill="9CB700"/>
            <w:vAlign w:val="center"/>
          </w:tcPr>
          <w:p w14:paraId="7F980989" w14:textId="77777777" w:rsidR="00DD0D07" w:rsidRPr="008742FB" w:rsidRDefault="00DD0D07" w:rsidP="00F668C6">
            <w:pPr>
              <w:autoSpaceDE w:val="0"/>
              <w:autoSpaceDN w:val="0"/>
              <w:adjustRightInd w:val="0"/>
              <w:spacing w:before="60"/>
              <w:jc w:val="both"/>
              <w:rPr>
                <w:rFonts w:cs="Verdana"/>
                <w:sz w:val="16"/>
                <w:szCs w:val="16"/>
                <w:lang w:eastAsia="es-ES"/>
              </w:rPr>
            </w:pPr>
          </w:p>
        </w:tc>
      </w:tr>
      <w:tr w:rsidR="00DD0D07" w:rsidRPr="00AC391D" w14:paraId="248BF353" w14:textId="77777777" w:rsidTr="00B26C13">
        <w:trPr>
          <w:trHeight w:val="709"/>
          <w:jc w:val="center"/>
        </w:trPr>
        <w:tc>
          <w:tcPr>
            <w:tcW w:w="1701" w:type="dxa"/>
            <w:tcBorders>
              <w:top w:val="single" w:sz="4" w:space="0" w:color="auto"/>
              <w:left w:val="nil"/>
              <w:bottom w:val="single" w:sz="12" w:space="0" w:color="auto"/>
              <w:right w:val="nil"/>
            </w:tcBorders>
            <w:shd w:val="clear" w:color="auto" w:fill="auto"/>
            <w:vAlign w:val="center"/>
          </w:tcPr>
          <w:p w14:paraId="116EC0A9" w14:textId="77777777" w:rsidR="00DD0D07" w:rsidRPr="008742FB" w:rsidRDefault="00DD0D07" w:rsidP="00F668C6">
            <w:pPr>
              <w:autoSpaceDE w:val="0"/>
              <w:autoSpaceDN w:val="0"/>
              <w:adjustRightInd w:val="0"/>
              <w:spacing w:before="60" w:after="60"/>
              <w:jc w:val="both"/>
              <w:rPr>
                <w:rFonts w:cs="Verdana"/>
                <w:sz w:val="16"/>
                <w:szCs w:val="16"/>
                <w:lang w:eastAsia="es-ES"/>
              </w:rPr>
            </w:pPr>
            <w:r>
              <w:rPr>
                <w:rFonts w:cs="Verdana"/>
                <w:sz w:val="16"/>
                <w:szCs w:val="16"/>
                <w:lang w:eastAsia="es-ES"/>
              </w:rPr>
              <w:t>Spain</w:t>
            </w:r>
          </w:p>
        </w:tc>
        <w:tc>
          <w:tcPr>
            <w:tcW w:w="850" w:type="dxa"/>
            <w:tcBorders>
              <w:top w:val="single" w:sz="4" w:space="0" w:color="auto"/>
              <w:left w:val="nil"/>
              <w:bottom w:val="single" w:sz="12" w:space="0" w:color="auto"/>
              <w:right w:val="nil"/>
            </w:tcBorders>
            <w:vAlign w:val="center"/>
          </w:tcPr>
          <w:p w14:paraId="60E1E092" w14:textId="77777777" w:rsidR="00DD0D07" w:rsidRDefault="00DD0D07" w:rsidP="00F668C6">
            <w:pPr>
              <w:autoSpaceDE w:val="0"/>
              <w:autoSpaceDN w:val="0"/>
              <w:adjustRightInd w:val="0"/>
              <w:spacing w:before="60" w:after="60"/>
              <w:jc w:val="both"/>
              <w:rPr>
                <w:sz w:val="16"/>
              </w:rPr>
            </w:pPr>
            <w:r w:rsidRPr="00DB4BB8">
              <w:rPr>
                <w:noProof/>
                <w:sz w:val="16"/>
                <w:szCs w:val="16"/>
                <w:lang w:eastAsia="es-ES"/>
              </w:rPr>
              <w:drawing>
                <wp:inline distT="0" distB="0" distL="0" distR="0" wp14:anchorId="3BCC8F5F" wp14:editId="31A4F50C">
                  <wp:extent cx="365946" cy="324000"/>
                  <wp:effectExtent l="0" t="0" r="0" b="0"/>
                  <wp:docPr id="2051" name="Imagen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 r="2276" b="2738"/>
                          <a:stretch/>
                        </pic:blipFill>
                        <pic:spPr bwMode="auto">
                          <a:xfrm>
                            <a:off x="0" y="0"/>
                            <a:ext cx="365946" cy="32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tcBorders>
              <w:top w:val="single" w:sz="4" w:space="0" w:color="auto"/>
              <w:left w:val="nil"/>
              <w:bottom w:val="single" w:sz="12" w:space="0" w:color="auto"/>
              <w:right w:val="nil"/>
            </w:tcBorders>
            <w:vAlign w:val="center"/>
          </w:tcPr>
          <w:p w14:paraId="54711E53" w14:textId="77777777" w:rsidR="00DD0D07" w:rsidRPr="008742FB" w:rsidRDefault="00DD0D07" w:rsidP="00F668C6">
            <w:pPr>
              <w:autoSpaceDE w:val="0"/>
              <w:autoSpaceDN w:val="0"/>
              <w:adjustRightInd w:val="0"/>
              <w:spacing w:before="60" w:after="60"/>
              <w:jc w:val="both"/>
              <w:rPr>
                <w:sz w:val="16"/>
              </w:rPr>
            </w:pPr>
            <w:r>
              <w:rPr>
                <w:sz w:val="16"/>
              </w:rPr>
              <w:t>-</w:t>
            </w:r>
          </w:p>
        </w:tc>
        <w:tc>
          <w:tcPr>
            <w:tcW w:w="2268" w:type="dxa"/>
            <w:tcBorders>
              <w:top w:val="single" w:sz="4" w:space="0" w:color="auto"/>
              <w:left w:val="nil"/>
              <w:bottom w:val="single" w:sz="12" w:space="0" w:color="auto"/>
              <w:right w:val="nil"/>
            </w:tcBorders>
            <w:shd w:val="clear" w:color="auto" w:fill="9CB700"/>
            <w:vAlign w:val="center"/>
          </w:tcPr>
          <w:p w14:paraId="12A53577" w14:textId="77777777" w:rsidR="00DD0D07" w:rsidRPr="008742FB" w:rsidRDefault="00DD0D07" w:rsidP="00F668C6">
            <w:pPr>
              <w:autoSpaceDE w:val="0"/>
              <w:autoSpaceDN w:val="0"/>
              <w:adjustRightInd w:val="0"/>
              <w:spacing w:before="60" w:after="60"/>
              <w:jc w:val="both"/>
              <w:rPr>
                <w:sz w:val="16"/>
              </w:rPr>
            </w:pPr>
          </w:p>
        </w:tc>
        <w:tc>
          <w:tcPr>
            <w:tcW w:w="2268" w:type="dxa"/>
            <w:tcBorders>
              <w:top w:val="single" w:sz="4" w:space="0" w:color="auto"/>
              <w:left w:val="nil"/>
              <w:bottom w:val="single" w:sz="12" w:space="0" w:color="auto"/>
              <w:right w:val="nil"/>
            </w:tcBorders>
            <w:shd w:val="clear" w:color="auto" w:fill="9CB700"/>
            <w:vAlign w:val="center"/>
          </w:tcPr>
          <w:p w14:paraId="6700CB81" w14:textId="77777777" w:rsidR="00DD0D07" w:rsidRPr="008742FB" w:rsidRDefault="00DD0D07" w:rsidP="00F668C6">
            <w:pPr>
              <w:autoSpaceDE w:val="0"/>
              <w:autoSpaceDN w:val="0"/>
              <w:adjustRightInd w:val="0"/>
              <w:spacing w:before="60" w:after="60"/>
              <w:jc w:val="both"/>
              <w:rPr>
                <w:rFonts w:cs="Verdana"/>
                <w:sz w:val="16"/>
                <w:szCs w:val="16"/>
                <w:lang w:eastAsia="es-ES"/>
              </w:rPr>
            </w:pPr>
          </w:p>
        </w:tc>
      </w:tr>
    </w:tbl>
    <w:p w14:paraId="28027A5D" w14:textId="77777777" w:rsidR="00DD0D07" w:rsidRDefault="00DD0D07" w:rsidP="00F668C6">
      <w:pPr>
        <w:spacing w:line="276" w:lineRule="auto"/>
        <w:ind w:left="1134"/>
        <w:jc w:val="both"/>
        <w:rPr>
          <w:rFonts w:cs="Calibri"/>
        </w:rPr>
      </w:pPr>
    </w:p>
    <w:p w14:paraId="2340E7AA" w14:textId="4A88EA60" w:rsidR="00422D1F" w:rsidRDefault="004C7736" w:rsidP="004C7736">
      <w:pPr>
        <w:pStyle w:val="Heading3"/>
      </w:pPr>
      <w:bookmarkStart w:id="18" w:name="_Toc121830931"/>
      <w:r>
        <w:lastRenderedPageBreak/>
        <w:t xml:space="preserve">3.1.2 </w:t>
      </w:r>
      <w:r w:rsidR="00746E8D" w:rsidRPr="00746E8D">
        <w:t>TECHNICAL SUITABILITY OF GAS INFRASTRUCTURE TO HYDROGEN</w:t>
      </w:r>
      <w:bookmarkEnd w:id="18"/>
    </w:p>
    <w:p w14:paraId="614967E6" w14:textId="70E45AD1" w:rsidR="00746E8D" w:rsidRPr="009A3BBC" w:rsidRDefault="00746E8D" w:rsidP="00F668C6">
      <w:pPr>
        <w:spacing w:line="276" w:lineRule="auto"/>
        <w:jc w:val="both"/>
      </w:pPr>
      <w:r w:rsidRPr="009A3BBC">
        <w:t>The properties of Hydrogen are different to those of natural gas.</w:t>
      </w:r>
      <w:r>
        <w:t xml:space="preserve"> </w:t>
      </w:r>
      <w:r w:rsidRPr="00CA0F66">
        <w:t xml:space="preserve">At standard conditions, methane calorific heating value per cubic meter </w:t>
      </w:r>
      <w:r w:rsidR="00322343">
        <w:t xml:space="preserve">is three times that </w:t>
      </w:r>
      <w:r w:rsidRPr="00CA0F66">
        <w:t>of hydrogen</w:t>
      </w:r>
      <w:r>
        <w:t>.</w:t>
      </w:r>
      <w:r w:rsidRPr="00CA0F66">
        <w:t xml:space="preserve"> </w:t>
      </w:r>
      <w:r>
        <w:t xml:space="preserve">Therefore, hydrogen and natural gas mixtures </w:t>
      </w:r>
      <w:r w:rsidRPr="009A3BBC">
        <w:t>have different properties</w:t>
      </w:r>
      <w:r>
        <w:t xml:space="preserve"> </w:t>
      </w:r>
      <w:r w:rsidRPr="009A3BBC">
        <w:t>than the two individual gases</w:t>
      </w:r>
      <w:r>
        <w:t>, raising</w:t>
      </w:r>
      <w:r w:rsidRPr="009A3BBC">
        <w:t xml:space="preserve"> the question of the suitability of the</w:t>
      </w:r>
      <w:r>
        <w:t xml:space="preserve"> </w:t>
      </w:r>
      <w:r w:rsidRPr="009A3BBC">
        <w:t xml:space="preserve">existing natural gas infrastructure and end </w:t>
      </w:r>
      <w:r w:rsidR="00592CBE" w:rsidRPr="009A3BBC">
        <w:t>use</w:t>
      </w:r>
      <w:r w:rsidR="00592CBE">
        <w:t>rs’</w:t>
      </w:r>
      <w:r w:rsidRPr="009A3BBC">
        <w:t xml:space="preserve"> equipment for </w:t>
      </w:r>
      <w:r>
        <w:t>utilising</w:t>
      </w:r>
      <w:r w:rsidRPr="009A3BBC">
        <w:t xml:space="preserve"> such</w:t>
      </w:r>
      <w:r>
        <w:t xml:space="preserve"> </w:t>
      </w:r>
      <w:r w:rsidRPr="009A3BBC">
        <w:t>mixtures.</w:t>
      </w:r>
    </w:p>
    <w:p w14:paraId="709182BF" w14:textId="44AF7C68" w:rsidR="00746E8D" w:rsidRPr="001F02EE" w:rsidRDefault="00746E8D" w:rsidP="00F668C6">
      <w:pPr>
        <w:spacing w:line="276" w:lineRule="auto"/>
        <w:jc w:val="both"/>
      </w:pPr>
      <w:r w:rsidRPr="00944A6C">
        <w:t xml:space="preserve">The most sensitive gas quality parameters defined in </w:t>
      </w:r>
      <w:r w:rsidR="00592CBE">
        <w:t xml:space="preserve">international </w:t>
      </w:r>
      <w:r w:rsidRPr="00944A6C">
        <w:t xml:space="preserve">standards would be the heating value and </w:t>
      </w:r>
      <w:r w:rsidRPr="001F02EE">
        <w:t>relative density</w:t>
      </w:r>
      <w:r>
        <w:t xml:space="preserve"> and, therefore, the </w:t>
      </w:r>
      <w:proofErr w:type="spellStart"/>
      <w:r>
        <w:t>Wobbe</w:t>
      </w:r>
      <w:proofErr w:type="spellEnd"/>
      <w:r>
        <w:t xml:space="preserve"> index. Another</w:t>
      </w:r>
      <w:r w:rsidRPr="00D66FD9">
        <w:t xml:space="preserve"> affected parameter </w:t>
      </w:r>
      <w:r>
        <w:t xml:space="preserve">is </w:t>
      </w:r>
      <w:r w:rsidRPr="00D66FD9">
        <w:t>the methane number</w:t>
      </w:r>
      <w:r>
        <w:t>. Hydrogen concentrations above 10 vol</w:t>
      </w:r>
      <w:r w:rsidR="00592CBE">
        <w:t xml:space="preserve"> </w:t>
      </w:r>
      <w:r>
        <w:t xml:space="preserve">% could bring the relative density below the lower limit </w:t>
      </w:r>
      <w:r w:rsidR="00592CBE">
        <w:t xml:space="preserve">of 0.555 </w:t>
      </w:r>
      <w:r>
        <w:t xml:space="preserve">defined in Standard EN 16726 </w:t>
      </w:r>
      <w:r w:rsidRPr="007708FC">
        <w:rPr>
          <w:b/>
          <w:bCs/>
          <w:color w:val="007AAE"/>
        </w:rPr>
        <w:fldChar w:fldCharType="begin"/>
      </w:r>
      <w:r w:rsidRPr="007708FC">
        <w:rPr>
          <w:b/>
          <w:bCs/>
          <w:color w:val="007AAE"/>
        </w:rPr>
        <w:instrText xml:space="preserve"> REF _Ref96686171 \r \h  \* MERGEFORMAT </w:instrText>
      </w:r>
      <w:r w:rsidRPr="007708FC">
        <w:rPr>
          <w:b/>
          <w:bCs/>
          <w:color w:val="007AAE"/>
        </w:rPr>
      </w:r>
      <w:r w:rsidRPr="007708FC">
        <w:rPr>
          <w:b/>
          <w:bCs/>
          <w:color w:val="007AAE"/>
        </w:rPr>
        <w:fldChar w:fldCharType="separate"/>
      </w:r>
      <w:r w:rsidRPr="007708FC">
        <w:rPr>
          <w:b/>
          <w:bCs/>
          <w:color w:val="007AAE"/>
        </w:rPr>
        <w:t>[6]</w:t>
      </w:r>
      <w:r w:rsidRPr="007708FC">
        <w:rPr>
          <w:b/>
          <w:bCs/>
          <w:color w:val="007AAE"/>
        </w:rPr>
        <w:fldChar w:fldCharType="end"/>
      </w:r>
      <w:r>
        <w:t xml:space="preserve"> </w:t>
      </w:r>
      <w:r w:rsidR="00AF78AE">
        <w:t>for</w:t>
      </w:r>
      <w:r>
        <w:t xml:space="preserve"> typical natural gas compositions. In addition, such concentration could get</w:t>
      </w:r>
      <w:r w:rsidRPr="00D66FD9">
        <w:t xml:space="preserve"> </w:t>
      </w:r>
      <w:r>
        <w:t>any of the three parameters</w:t>
      </w:r>
      <w:r w:rsidRPr="00D66FD9">
        <w:t xml:space="preserve"> out of </w:t>
      </w:r>
      <w:r>
        <w:t>the per</w:t>
      </w:r>
      <w:r w:rsidRPr="00D66FD9">
        <w:t xml:space="preserve">missible </w:t>
      </w:r>
      <w:r w:rsidR="000E48A1">
        <w:t>limits</w:t>
      </w:r>
      <w:r w:rsidRPr="00D66FD9">
        <w:t xml:space="preserve"> defined </w:t>
      </w:r>
      <w:r w:rsidRPr="008255FD">
        <w:t>by EASEE-gas</w:t>
      </w:r>
      <w:r w:rsidRPr="00F151FD">
        <w:rPr>
          <w:rStyle w:val="FootnoteReference"/>
        </w:rPr>
        <w:footnoteReference w:id="2"/>
      </w:r>
      <w:r w:rsidRPr="008255FD">
        <w:t xml:space="preserve"> CBP </w:t>
      </w:r>
      <w:r w:rsidRPr="008255FD">
        <w:rPr>
          <w:b/>
          <w:bCs/>
          <w:color w:val="007AAE"/>
        </w:rPr>
        <w:fldChar w:fldCharType="begin"/>
      </w:r>
      <w:r w:rsidRPr="008255FD">
        <w:rPr>
          <w:b/>
          <w:bCs/>
          <w:color w:val="007AAE"/>
        </w:rPr>
        <w:instrText xml:space="preserve"> REF _Ref96686189 \r \h  \* MERGEFORMAT </w:instrText>
      </w:r>
      <w:r w:rsidRPr="008255FD">
        <w:rPr>
          <w:b/>
          <w:bCs/>
          <w:color w:val="007AAE"/>
        </w:rPr>
      </w:r>
      <w:r w:rsidRPr="008255FD">
        <w:rPr>
          <w:b/>
          <w:bCs/>
          <w:color w:val="007AAE"/>
        </w:rPr>
        <w:fldChar w:fldCharType="separate"/>
      </w:r>
      <w:r>
        <w:rPr>
          <w:b/>
          <w:bCs/>
          <w:color w:val="007AAE"/>
        </w:rPr>
        <w:t>[7]</w:t>
      </w:r>
      <w:r w:rsidRPr="008255FD">
        <w:rPr>
          <w:b/>
          <w:bCs/>
          <w:color w:val="007AAE"/>
        </w:rPr>
        <w:fldChar w:fldCharType="end"/>
      </w:r>
      <w:r>
        <w:t xml:space="preserve"> </w:t>
      </w:r>
      <w:r w:rsidRPr="00D66FD9">
        <w:t>(</w:t>
      </w:r>
      <w:r w:rsidRPr="00D66FD9">
        <w:fldChar w:fldCharType="begin"/>
      </w:r>
      <w:r w:rsidRPr="00D66FD9">
        <w:instrText xml:space="preserve"> REF _Ref96337660 \h </w:instrText>
      </w:r>
      <w:r>
        <w:instrText xml:space="preserve"> \* MERGEFORMAT </w:instrText>
      </w:r>
      <w:r w:rsidRPr="00D66FD9">
        <w:fldChar w:fldCharType="separate"/>
      </w:r>
      <w:r w:rsidRPr="00186892">
        <w:rPr>
          <w:b/>
          <w:color w:val="007AAE"/>
        </w:rPr>
        <w:t xml:space="preserve">Figure </w:t>
      </w:r>
      <w:r w:rsidRPr="00186892">
        <w:rPr>
          <w:b/>
          <w:noProof/>
          <w:color w:val="007AAE"/>
        </w:rPr>
        <w:t>3</w:t>
      </w:r>
      <w:r w:rsidRPr="00D66FD9">
        <w:fldChar w:fldCharType="end"/>
      </w:r>
      <w:r w:rsidRPr="00D66FD9">
        <w:t xml:space="preserve"> </w:t>
      </w:r>
      <w:r>
        <w:t xml:space="preserve">is included </w:t>
      </w:r>
      <w:r w:rsidRPr="00D66FD9">
        <w:t xml:space="preserve">as </w:t>
      </w:r>
      <w:r w:rsidR="000E48A1">
        <w:t xml:space="preserve">a </w:t>
      </w:r>
      <w:r w:rsidRPr="00D66FD9">
        <w:t>reference</w:t>
      </w:r>
      <w:r>
        <w:t>)</w:t>
      </w:r>
      <w:r w:rsidRPr="00D66FD9">
        <w:t>.</w:t>
      </w:r>
    </w:p>
    <w:p w14:paraId="14C3F5B2" w14:textId="77777777" w:rsidR="00746E8D" w:rsidRPr="009252DF" w:rsidRDefault="00746E8D" w:rsidP="00F668C6">
      <w:pPr>
        <w:keepNext/>
        <w:spacing w:line="276" w:lineRule="auto"/>
        <w:jc w:val="both"/>
      </w:pPr>
      <w:r>
        <w:rPr>
          <w:noProof/>
        </w:rPr>
        <w:drawing>
          <wp:inline distT="0" distB="0" distL="0" distR="0" wp14:anchorId="18D1CBEC" wp14:editId="4388CC77">
            <wp:extent cx="5400000" cy="2589297"/>
            <wp:effectExtent l="0" t="0" r="0" b="190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00" cy="2589297"/>
                    </a:xfrm>
                    <a:prstGeom prst="rect">
                      <a:avLst/>
                    </a:prstGeom>
                    <a:noFill/>
                  </pic:spPr>
                </pic:pic>
              </a:graphicData>
            </a:graphic>
          </wp:inline>
        </w:drawing>
      </w:r>
    </w:p>
    <w:p w14:paraId="3CB57838" w14:textId="3BF9C8BC" w:rsidR="00746E8D" w:rsidRPr="009252DF" w:rsidRDefault="00746E8D" w:rsidP="00F668C6">
      <w:pPr>
        <w:spacing w:before="120" w:line="276" w:lineRule="auto"/>
        <w:ind w:left="2552" w:right="1134" w:hanging="1418"/>
        <w:jc w:val="both"/>
        <w:rPr>
          <w:sz w:val="18"/>
          <w:szCs w:val="18"/>
        </w:rPr>
      </w:pPr>
      <w:bookmarkStart w:id="19" w:name="_Ref96337660"/>
      <w:r w:rsidRPr="008742FB">
        <w:rPr>
          <w:b/>
          <w:color w:val="007AAE"/>
          <w:sz w:val="18"/>
          <w:szCs w:val="18"/>
        </w:rPr>
        <w:t xml:space="preserve">Figure </w:t>
      </w:r>
      <w:r w:rsidRPr="008742FB">
        <w:rPr>
          <w:b/>
          <w:color w:val="007AAE"/>
          <w:sz w:val="18"/>
          <w:szCs w:val="18"/>
        </w:rPr>
        <w:fldChar w:fldCharType="begin"/>
      </w:r>
      <w:r w:rsidRPr="008742FB">
        <w:rPr>
          <w:b/>
          <w:color w:val="007AAE"/>
          <w:sz w:val="18"/>
          <w:szCs w:val="18"/>
        </w:rPr>
        <w:instrText xml:space="preserve"> SEQ Figure \* ARABIC </w:instrText>
      </w:r>
      <w:r w:rsidRPr="008742FB">
        <w:rPr>
          <w:b/>
          <w:color w:val="007AAE"/>
          <w:sz w:val="18"/>
          <w:szCs w:val="18"/>
        </w:rPr>
        <w:fldChar w:fldCharType="separate"/>
      </w:r>
      <w:r w:rsidR="00EF1E54">
        <w:rPr>
          <w:b/>
          <w:noProof/>
          <w:color w:val="007AAE"/>
          <w:sz w:val="18"/>
          <w:szCs w:val="18"/>
        </w:rPr>
        <w:t>3</w:t>
      </w:r>
      <w:r w:rsidRPr="008742FB">
        <w:rPr>
          <w:b/>
          <w:color w:val="007AAE"/>
          <w:sz w:val="18"/>
          <w:szCs w:val="18"/>
        </w:rPr>
        <w:fldChar w:fldCharType="end"/>
      </w:r>
      <w:bookmarkEnd w:id="19"/>
      <w:r w:rsidRPr="008742FB">
        <w:rPr>
          <w:bCs/>
          <w:sz w:val="18"/>
          <w:szCs w:val="18"/>
        </w:rPr>
        <w:t>.-</w:t>
      </w:r>
      <w:r w:rsidRPr="009252DF">
        <w:rPr>
          <w:b/>
          <w:sz w:val="18"/>
          <w:szCs w:val="18"/>
        </w:rPr>
        <w:tab/>
      </w:r>
      <w:r>
        <w:rPr>
          <w:sz w:val="18"/>
          <w:szCs w:val="18"/>
        </w:rPr>
        <w:t>Influence of H</w:t>
      </w:r>
      <w:r w:rsidRPr="001F02EE">
        <w:rPr>
          <w:sz w:val="18"/>
          <w:szCs w:val="18"/>
          <w:vertAlign w:val="subscript"/>
        </w:rPr>
        <w:t>2</w:t>
      </w:r>
      <w:r>
        <w:rPr>
          <w:sz w:val="18"/>
          <w:szCs w:val="18"/>
        </w:rPr>
        <w:t xml:space="preserve"> addition on High Heating Value (HHV) and </w:t>
      </w:r>
      <w:proofErr w:type="spellStart"/>
      <w:r>
        <w:rPr>
          <w:sz w:val="18"/>
          <w:szCs w:val="18"/>
        </w:rPr>
        <w:t>Wobbe</w:t>
      </w:r>
      <w:proofErr w:type="spellEnd"/>
      <w:r>
        <w:rPr>
          <w:sz w:val="18"/>
          <w:szCs w:val="18"/>
        </w:rPr>
        <w:t xml:space="preserve"> Index (WI) of typical pipeline gas composition (left) and LNG (right). The red</w:t>
      </w:r>
      <w:r w:rsidRPr="001F02EE">
        <w:rPr>
          <w:sz w:val="18"/>
          <w:szCs w:val="18"/>
        </w:rPr>
        <w:t xml:space="preserve"> area define</w:t>
      </w:r>
      <w:r>
        <w:rPr>
          <w:sz w:val="18"/>
          <w:szCs w:val="18"/>
        </w:rPr>
        <w:t>s</w:t>
      </w:r>
      <w:r w:rsidRPr="001F02EE">
        <w:rPr>
          <w:sz w:val="18"/>
          <w:szCs w:val="18"/>
        </w:rPr>
        <w:t xml:space="preserve"> </w:t>
      </w:r>
      <w:r>
        <w:rPr>
          <w:sz w:val="18"/>
          <w:szCs w:val="18"/>
        </w:rPr>
        <w:t xml:space="preserve">the </w:t>
      </w:r>
      <w:r w:rsidRPr="001F02EE">
        <w:rPr>
          <w:sz w:val="18"/>
          <w:szCs w:val="18"/>
        </w:rPr>
        <w:t>EASEE-gas CBP limit for reference purposes.</w:t>
      </w:r>
      <w:r>
        <w:rPr>
          <w:sz w:val="18"/>
          <w:szCs w:val="18"/>
        </w:rPr>
        <w:t xml:space="preserve"> </w:t>
      </w:r>
      <w:r w:rsidRPr="008255FD">
        <w:rPr>
          <w:b/>
          <w:bCs/>
          <w:color w:val="007AAE"/>
          <w:sz w:val="18"/>
          <w:szCs w:val="18"/>
        </w:rPr>
        <w:fldChar w:fldCharType="begin"/>
      </w:r>
      <w:r w:rsidRPr="008255FD">
        <w:rPr>
          <w:b/>
          <w:bCs/>
          <w:color w:val="007AAE"/>
          <w:sz w:val="18"/>
          <w:szCs w:val="18"/>
        </w:rPr>
        <w:instrText xml:space="preserve"> REF _Ref96686249 \r \h  \* MERGEFORMAT </w:instrText>
      </w:r>
      <w:r w:rsidRPr="008255FD">
        <w:rPr>
          <w:b/>
          <w:bCs/>
          <w:color w:val="007AAE"/>
          <w:sz w:val="18"/>
          <w:szCs w:val="18"/>
        </w:rPr>
      </w:r>
      <w:r w:rsidRPr="008255FD">
        <w:rPr>
          <w:b/>
          <w:bCs/>
          <w:color w:val="007AAE"/>
          <w:sz w:val="18"/>
          <w:szCs w:val="18"/>
        </w:rPr>
        <w:fldChar w:fldCharType="separate"/>
      </w:r>
      <w:r>
        <w:rPr>
          <w:b/>
          <w:bCs/>
          <w:color w:val="007AAE"/>
          <w:sz w:val="18"/>
          <w:szCs w:val="18"/>
        </w:rPr>
        <w:t>[8]</w:t>
      </w:r>
      <w:r w:rsidRPr="008255FD">
        <w:rPr>
          <w:b/>
          <w:bCs/>
          <w:color w:val="007AAE"/>
          <w:sz w:val="18"/>
          <w:szCs w:val="18"/>
        </w:rPr>
        <w:fldChar w:fldCharType="end"/>
      </w:r>
    </w:p>
    <w:p w14:paraId="20ADB997" w14:textId="746445F7" w:rsidR="00746E8D" w:rsidRPr="009A3BBC" w:rsidRDefault="00746E8D" w:rsidP="00F668C6">
      <w:pPr>
        <w:spacing w:line="276" w:lineRule="auto"/>
        <w:jc w:val="both"/>
      </w:pPr>
      <w:r>
        <w:t xml:space="preserve">To address this question, several projects </w:t>
      </w:r>
      <w:r w:rsidR="00006B89">
        <w:t>were conducted</w:t>
      </w:r>
      <w:r>
        <w:t xml:space="preserve"> in the </w:t>
      </w:r>
      <w:r w:rsidR="00006B89">
        <w:t>past</w:t>
      </w:r>
      <w:r>
        <w:t xml:space="preserve"> years or are in </w:t>
      </w:r>
      <w:r w:rsidR="00006B89">
        <w:t>currently underway</w:t>
      </w:r>
      <w:r>
        <w:t xml:space="preserve"> (</w:t>
      </w:r>
      <w:r w:rsidR="00006B89">
        <w:t xml:space="preserve">see </w:t>
      </w:r>
      <w:r w:rsidRPr="00CA3C51">
        <w:rPr>
          <w:b/>
          <w:bCs/>
          <w:color w:val="007AAE"/>
        </w:rPr>
        <w:t xml:space="preserve">section </w:t>
      </w:r>
      <w:r w:rsidRPr="00CA3C51">
        <w:rPr>
          <w:b/>
          <w:bCs/>
          <w:color w:val="007AAE"/>
        </w:rPr>
        <w:fldChar w:fldCharType="begin"/>
      </w:r>
      <w:r w:rsidRPr="00CA3C51">
        <w:rPr>
          <w:b/>
          <w:bCs/>
          <w:color w:val="007AAE"/>
        </w:rPr>
        <w:instrText xml:space="preserve"> REF _Ref96337847 \r \h  \* MERGEFORMAT </w:instrText>
      </w:r>
      <w:r w:rsidRPr="00CA3C51">
        <w:rPr>
          <w:b/>
          <w:bCs/>
          <w:color w:val="007AAE"/>
        </w:rPr>
      </w:r>
      <w:r w:rsidRPr="00CA3C51">
        <w:rPr>
          <w:b/>
          <w:bCs/>
          <w:color w:val="007AAE"/>
        </w:rPr>
        <w:fldChar w:fldCharType="separate"/>
      </w:r>
      <w:r>
        <w:rPr>
          <w:b/>
          <w:bCs/>
          <w:color w:val="007AAE"/>
        </w:rPr>
        <w:t>3.3</w:t>
      </w:r>
      <w:r w:rsidRPr="00CA3C51">
        <w:rPr>
          <w:b/>
          <w:bCs/>
          <w:color w:val="007AAE"/>
        </w:rPr>
        <w:fldChar w:fldCharType="end"/>
      </w:r>
      <w:r>
        <w:t xml:space="preserve">). One of the most recognised </w:t>
      </w:r>
      <w:r w:rsidR="008D4B36">
        <w:t>projects</w:t>
      </w:r>
      <w:r w:rsidR="00006B89">
        <w:t xml:space="preserve"> </w:t>
      </w:r>
      <w:r>
        <w:t xml:space="preserve">is by </w:t>
      </w:r>
      <w:proofErr w:type="spellStart"/>
      <w:r>
        <w:t>Marcogaz</w:t>
      </w:r>
      <w:proofErr w:type="spellEnd"/>
      <w:r>
        <w:t xml:space="preserve"> ‘Technical Association of the European Natural Gas Industry’ </w:t>
      </w:r>
      <w:r w:rsidRPr="008255FD">
        <w:rPr>
          <w:b/>
          <w:bCs/>
          <w:color w:val="007AAE"/>
        </w:rPr>
        <w:fldChar w:fldCharType="begin"/>
      </w:r>
      <w:r w:rsidRPr="008255FD">
        <w:rPr>
          <w:b/>
          <w:bCs/>
          <w:color w:val="007AAE"/>
        </w:rPr>
        <w:instrText xml:space="preserve"> REF _Ref96686386 \r \h  \* MERGEFORMAT </w:instrText>
      </w:r>
      <w:r w:rsidRPr="008255FD">
        <w:rPr>
          <w:b/>
          <w:bCs/>
          <w:color w:val="007AAE"/>
        </w:rPr>
      </w:r>
      <w:r w:rsidRPr="008255FD">
        <w:rPr>
          <w:b/>
          <w:bCs/>
          <w:color w:val="007AAE"/>
        </w:rPr>
        <w:fldChar w:fldCharType="separate"/>
      </w:r>
      <w:r>
        <w:rPr>
          <w:b/>
          <w:bCs/>
          <w:color w:val="007AAE"/>
        </w:rPr>
        <w:t>[9]</w:t>
      </w:r>
      <w:r w:rsidRPr="008255FD">
        <w:rPr>
          <w:b/>
          <w:bCs/>
          <w:color w:val="007AAE"/>
        </w:rPr>
        <w:fldChar w:fldCharType="end"/>
      </w:r>
      <w:r>
        <w:t xml:space="preserve">, </w:t>
      </w:r>
      <w:r w:rsidR="00006B89">
        <w:t>with</w:t>
      </w:r>
      <w:r>
        <w:t xml:space="preserve"> the following objectives</w:t>
      </w:r>
      <w:r w:rsidRPr="009A3BBC">
        <w:t>:</w:t>
      </w:r>
    </w:p>
    <w:p w14:paraId="43B5A43B" w14:textId="77777777" w:rsidR="00746E8D" w:rsidRPr="00F934E4" w:rsidRDefault="00746E8D" w:rsidP="00F668C6">
      <w:pPr>
        <w:pStyle w:val="ListParagraph"/>
        <w:numPr>
          <w:ilvl w:val="0"/>
          <w:numId w:val="4"/>
        </w:numPr>
        <w:spacing w:before="60" w:line="276" w:lineRule="auto"/>
        <w:ind w:left="1531" w:hanging="397"/>
        <w:contextualSpacing w:val="0"/>
        <w:jc w:val="both"/>
        <w:rPr>
          <w:rFonts w:asciiTheme="minorHAnsi" w:hAnsiTheme="minorHAnsi" w:cstheme="minorHAnsi"/>
          <w:lang w:val="en-GB"/>
        </w:rPr>
      </w:pPr>
      <w:r w:rsidRPr="00F934E4">
        <w:rPr>
          <w:rFonts w:asciiTheme="minorHAnsi" w:hAnsiTheme="minorHAnsi" w:cstheme="minorHAnsi"/>
          <w:lang w:val="en-GB"/>
        </w:rPr>
        <w:t>Provide an overview of the technical readiness of the gas infrastructure and end uses equipment to handle hydrogen-natural gas mixtures at each stage of the gas chain.</w:t>
      </w:r>
    </w:p>
    <w:p w14:paraId="2A6A4520" w14:textId="77777777" w:rsidR="00746E8D" w:rsidRPr="00F934E4" w:rsidRDefault="00746E8D" w:rsidP="00F668C6">
      <w:pPr>
        <w:pStyle w:val="ListParagraph"/>
        <w:numPr>
          <w:ilvl w:val="0"/>
          <w:numId w:val="4"/>
        </w:numPr>
        <w:spacing w:before="60" w:line="276" w:lineRule="auto"/>
        <w:ind w:left="1531" w:hanging="397"/>
        <w:contextualSpacing w:val="0"/>
        <w:jc w:val="both"/>
        <w:rPr>
          <w:rFonts w:asciiTheme="minorHAnsi" w:hAnsiTheme="minorHAnsi" w:cstheme="minorHAnsi"/>
          <w:lang w:val="en-GB"/>
        </w:rPr>
      </w:pPr>
      <w:r w:rsidRPr="00F934E4">
        <w:rPr>
          <w:rFonts w:asciiTheme="minorHAnsi" w:hAnsiTheme="minorHAnsi" w:cstheme="minorHAnsi"/>
          <w:lang w:val="en-GB"/>
        </w:rPr>
        <w:t>Identify gaps in knowledge and areas where R&amp;D is required to remove barriers limiting hydrogen uptake in the supply chain and enable new hydrogen and hydrogen-natural gas mixtures applications.</w:t>
      </w:r>
    </w:p>
    <w:p w14:paraId="49EAA05C" w14:textId="77777777" w:rsidR="00746E8D" w:rsidRPr="00F934E4" w:rsidRDefault="00746E8D" w:rsidP="00F668C6">
      <w:pPr>
        <w:pStyle w:val="ListParagraph"/>
        <w:numPr>
          <w:ilvl w:val="0"/>
          <w:numId w:val="4"/>
        </w:numPr>
        <w:spacing w:before="60" w:line="276" w:lineRule="auto"/>
        <w:ind w:left="1531" w:hanging="397"/>
        <w:contextualSpacing w:val="0"/>
        <w:jc w:val="both"/>
        <w:rPr>
          <w:rFonts w:asciiTheme="minorHAnsi" w:hAnsiTheme="minorHAnsi" w:cstheme="minorHAnsi"/>
          <w:lang w:val="en-GB"/>
        </w:rPr>
      </w:pPr>
      <w:r w:rsidRPr="00F934E4">
        <w:rPr>
          <w:rFonts w:asciiTheme="minorHAnsi" w:hAnsiTheme="minorHAnsi" w:cstheme="minorHAnsi"/>
          <w:lang w:val="en-GB"/>
        </w:rPr>
        <w:t>Collect and assess the most up-to-date knowledge on the use of hydrogen and hydrogen-natural gas mixtures based on evidence and experience from gas network &amp; storage operators and end-use experts.</w:t>
      </w:r>
    </w:p>
    <w:p w14:paraId="4916CB0E" w14:textId="77777777" w:rsidR="00746E8D" w:rsidRPr="00F934E4" w:rsidRDefault="00746E8D" w:rsidP="00F668C6">
      <w:pPr>
        <w:pStyle w:val="ListParagraph"/>
        <w:numPr>
          <w:ilvl w:val="0"/>
          <w:numId w:val="4"/>
        </w:numPr>
        <w:spacing w:before="60" w:line="276" w:lineRule="auto"/>
        <w:ind w:left="1531" w:hanging="397"/>
        <w:contextualSpacing w:val="0"/>
        <w:jc w:val="both"/>
        <w:rPr>
          <w:rFonts w:asciiTheme="minorHAnsi" w:hAnsiTheme="minorHAnsi" w:cstheme="minorHAnsi"/>
          <w:lang w:val="en-GB"/>
        </w:rPr>
      </w:pPr>
      <w:r w:rsidRPr="00F934E4">
        <w:rPr>
          <w:rFonts w:asciiTheme="minorHAnsi" w:hAnsiTheme="minorHAnsi" w:cstheme="minorHAnsi"/>
          <w:lang w:val="en-GB"/>
        </w:rPr>
        <w:t>Collect and appraise the current state of knowledge of transmission, storage, distribution and use of hydrogen-natural gas mixtures and hydrogen, drawing on the vast expertise and experience of network operators, storage operators and end-use experts.</w:t>
      </w:r>
    </w:p>
    <w:p w14:paraId="0A78A591" w14:textId="77777777" w:rsidR="00746E8D" w:rsidRPr="00F934E4" w:rsidRDefault="00746E8D" w:rsidP="00F668C6">
      <w:pPr>
        <w:pStyle w:val="ListParagraph"/>
        <w:numPr>
          <w:ilvl w:val="0"/>
          <w:numId w:val="4"/>
        </w:numPr>
        <w:spacing w:before="60" w:line="276" w:lineRule="auto"/>
        <w:ind w:left="1531" w:hanging="397"/>
        <w:contextualSpacing w:val="0"/>
        <w:jc w:val="both"/>
        <w:rPr>
          <w:rFonts w:asciiTheme="minorHAnsi" w:hAnsiTheme="minorHAnsi" w:cstheme="minorHAnsi"/>
          <w:lang w:val="en-GB"/>
        </w:rPr>
      </w:pPr>
      <w:r w:rsidRPr="00F934E4">
        <w:rPr>
          <w:rFonts w:asciiTheme="minorHAnsi" w:hAnsiTheme="minorHAnsi" w:cstheme="minorHAnsi"/>
          <w:lang w:val="en-GB"/>
        </w:rPr>
        <w:t>Assist with investigating the opportunities with the existing gas infrastructure to achieve the best benefits and contribute to reaching climate goals.</w:t>
      </w:r>
    </w:p>
    <w:p w14:paraId="5174581C" w14:textId="77777777" w:rsidR="00746E8D" w:rsidRPr="009252DF" w:rsidRDefault="00746E8D" w:rsidP="00F668C6">
      <w:pPr>
        <w:spacing w:line="276" w:lineRule="auto"/>
        <w:ind w:left="1134"/>
        <w:jc w:val="both"/>
      </w:pPr>
    </w:p>
    <w:p w14:paraId="7764F8FE" w14:textId="5A68DFE0" w:rsidR="00746E8D" w:rsidRPr="006849D4" w:rsidRDefault="00746E8D" w:rsidP="00F668C6">
      <w:pPr>
        <w:spacing w:line="276" w:lineRule="auto"/>
        <w:jc w:val="both"/>
      </w:pPr>
      <w:r>
        <w:t xml:space="preserve">The main </w:t>
      </w:r>
      <w:r w:rsidR="008B15B9">
        <w:t xml:space="preserve">project </w:t>
      </w:r>
      <w:r>
        <w:t>results are (</w:t>
      </w:r>
      <w:r w:rsidR="008D4B36">
        <w:t xml:space="preserve">see also </w:t>
      </w:r>
      <w:r w:rsidRPr="009F6F8E">
        <w:t>infographic</w:t>
      </w:r>
      <w:r>
        <w:t xml:space="preserve"> included in </w:t>
      </w:r>
      <w:r w:rsidRPr="009F6F8E">
        <w:rPr>
          <w:b/>
          <w:bCs/>
          <w:color w:val="007AAE"/>
        </w:rPr>
        <w:t>Annex 1</w:t>
      </w:r>
      <w:r>
        <w:t>)</w:t>
      </w:r>
      <w:r w:rsidRPr="006849D4">
        <w:t>:</w:t>
      </w:r>
    </w:p>
    <w:p w14:paraId="77B12BC5" w14:textId="77777777" w:rsidR="00746E8D" w:rsidRPr="00F934E4" w:rsidRDefault="00746E8D" w:rsidP="00F668C6">
      <w:pPr>
        <w:pStyle w:val="ListParagraph"/>
        <w:numPr>
          <w:ilvl w:val="0"/>
          <w:numId w:val="4"/>
        </w:numPr>
        <w:spacing w:before="60" w:line="276" w:lineRule="auto"/>
        <w:ind w:left="1531" w:hanging="397"/>
        <w:contextualSpacing w:val="0"/>
        <w:jc w:val="both"/>
        <w:rPr>
          <w:rFonts w:asciiTheme="minorHAnsi" w:hAnsiTheme="minorHAnsi" w:cstheme="minorHAnsi"/>
          <w:lang w:val="en-GB"/>
        </w:rPr>
      </w:pPr>
      <w:r w:rsidRPr="00F934E4">
        <w:rPr>
          <w:rFonts w:asciiTheme="minorHAnsi" w:hAnsiTheme="minorHAnsi" w:cstheme="minorHAnsi"/>
          <w:lang w:val="en-GB"/>
        </w:rPr>
        <w:t>Natural gas infrastructure and residential appliances:</w:t>
      </w:r>
    </w:p>
    <w:p w14:paraId="62E91C60" w14:textId="441DE8DE" w:rsidR="00746E8D" w:rsidRPr="00F934E4" w:rsidRDefault="00746E8D" w:rsidP="00F668C6">
      <w:pPr>
        <w:pStyle w:val="ListParagraph"/>
        <w:numPr>
          <w:ilvl w:val="0"/>
          <w:numId w:val="5"/>
        </w:numPr>
        <w:spacing w:before="60" w:line="276" w:lineRule="auto"/>
        <w:ind w:left="1928" w:hanging="397"/>
        <w:contextualSpacing w:val="0"/>
        <w:jc w:val="both"/>
        <w:rPr>
          <w:rFonts w:asciiTheme="minorHAnsi" w:hAnsiTheme="minorHAnsi" w:cstheme="minorHAnsi"/>
          <w:lang w:val="en-GB"/>
        </w:rPr>
      </w:pPr>
      <w:r w:rsidRPr="00F934E4">
        <w:rPr>
          <w:rFonts w:asciiTheme="minorHAnsi" w:hAnsiTheme="minorHAnsi" w:cstheme="minorHAnsi"/>
          <w:lang w:val="en-GB"/>
        </w:rPr>
        <w:t>Major elements of the gas transmission, storage and distribution infrastructure and residential gas appliances are expected to accept 10 vol</w:t>
      </w:r>
      <w:r w:rsidR="00255A16">
        <w:rPr>
          <w:rFonts w:asciiTheme="minorHAnsi" w:hAnsiTheme="minorHAnsi" w:cstheme="minorHAnsi"/>
          <w:lang w:val="en-GB"/>
        </w:rPr>
        <w:t xml:space="preserve"> </w:t>
      </w:r>
      <w:r w:rsidRPr="00F934E4">
        <w:rPr>
          <w:rFonts w:asciiTheme="minorHAnsi" w:hAnsiTheme="minorHAnsi" w:cstheme="minorHAnsi"/>
          <w:lang w:val="en-GB"/>
        </w:rPr>
        <w:t>% H</w:t>
      </w:r>
      <w:r w:rsidRPr="00F934E4">
        <w:rPr>
          <w:rFonts w:asciiTheme="minorHAnsi" w:hAnsiTheme="minorHAnsi" w:cstheme="minorHAnsi"/>
          <w:vertAlign w:val="subscript"/>
          <w:lang w:val="en-GB"/>
        </w:rPr>
        <w:t>2</w:t>
      </w:r>
      <w:r w:rsidRPr="00F934E4">
        <w:rPr>
          <w:rFonts w:asciiTheme="minorHAnsi" w:hAnsiTheme="minorHAnsi" w:cstheme="minorHAnsi"/>
          <w:lang w:val="en-GB"/>
        </w:rPr>
        <w:t xml:space="preserve"> without modification.</w:t>
      </w:r>
    </w:p>
    <w:p w14:paraId="23F279CD" w14:textId="79A4CBC3" w:rsidR="00746E8D" w:rsidRPr="00F934E4" w:rsidRDefault="00746E8D" w:rsidP="00F668C6">
      <w:pPr>
        <w:pStyle w:val="ListParagraph"/>
        <w:numPr>
          <w:ilvl w:val="0"/>
          <w:numId w:val="5"/>
        </w:numPr>
        <w:spacing w:before="60" w:line="276" w:lineRule="auto"/>
        <w:ind w:left="1928" w:hanging="397"/>
        <w:contextualSpacing w:val="0"/>
        <w:jc w:val="both"/>
        <w:rPr>
          <w:rFonts w:asciiTheme="minorHAnsi" w:hAnsiTheme="minorHAnsi" w:cstheme="minorHAnsi"/>
          <w:lang w:val="en-GB"/>
        </w:rPr>
      </w:pPr>
      <w:r w:rsidRPr="00F934E4">
        <w:rPr>
          <w:rFonts w:asciiTheme="minorHAnsi" w:hAnsiTheme="minorHAnsi" w:cstheme="minorHAnsi"/>
          <w:lang w:val="en-GB"/>
        </w:rPr>
        <w:t>Some networks and residential appliances are already being operated with 20 vol</w:t>
      </w:r>
      <w:r w:rsidR="00255A16">
        <w:rPr>
          <w:rFonts w:asciiTheme="minorHAnsi" w:hAnsiTheme="minorHAnsi" w:cstheme="minorHAnsi"/>
          <w:lang w:val="en-GB"/>
        </w:rPr>
        <w:t xml:space="preserve"> </w:t>
      </w:r>
      <w:r w:rsidRPr="00F934E4">
        <w:rPr>
          <w:rFonts w:asciiTheme="minorHAnsi" w:hAnsiTheme="minorHAnsi" w:cstheme="minorHAnsi"/>
          <w:lang w:val="en-GB"/>
        </w:rPr>
        <w:t>% of hydrogen.</w:t>
      </w:r>
    </w:p>
    <w:p w14:paraId="283768AB" w14:textId="5E3A79E2" w:rsidR="00746E8D" w:rsidRPr="00F934E4" w:rsidRDefault="00746E8D" w:rsidP="00F668C6">
      <w:pPr>
        <w:pStyle w:val="ListParagraph"/>
        <w:numPr>
          <w:ilvl w:val="0"/>
          <w:numId w:val="5"/>
        </w:numPr>
        <w:spacing w:before="60" w:line="276" w:lineRule="auto"/>
        <w:ind w:left="1928" w:hanging="397"/>
        <w:contextualSpacing w:val="0"/>
        <w:jc w:val="both"/>
        <w:rPr>
          <w:rFonts w:asciiTheme="minorHAnsi" w:hAnsiTheme="minorHAnsi" w:cstheme="minorHAnsi"/>
          <w:lang w:val="en-GB"/>
        </w:rPr>
      </w:pPr>
      <w:r w:rsidRPr="00F934E4">
        <w:rPr>
          <w:rFonts w:asciiTheme="minorHAnsi" w:hAnsiTheme="minorHAnsi" w:cstheme="minorHAnsi"/>
          <w:lang w:val="en-GB"/>
        </w:rPr>
        <w:t>Major elements of the infrastructure and residential appliances are expected to accept 20 vol</w:t>
      </w:r>
      <w:r w:rsidR="00255A16">
        <w:rPr>
          <w:rFonts w:asciiTheme="minorHAnsi" w:hAnsiTheme="minorHAnsi" w:cstheme="minorHAnsi"/>
          <w:lang w:val="en-GB"/>
        </w:rPr>
        <w:t xml:space="preserve"> </w:t>
      </w:r>
      <w:r w:rsidRPr="00F934E4">
        <w:rPr>
          <w:rFonts w:asciiTheme="minorHAnsi" w:hAnsiTheme="minorHAnsi" w:cstheme="minorHAnsi"/>
          <w:lang w:val="en-GB"/>
        </w:rPr>
        <w:t>% H</w:t>
      </w:r>
      <w:r w:rsidRPr="00F934E4">
        <w:rPr>
          <w:rFonts w:asciiTheme="minorHAnsi" w:hAnsiTheme="minorHAnsi" w:cstheme="minorHAnsi"/>
          <w:vertAlign w:val="subscript"/>
          <w:lang w:val="en-GB"/>
        </w:rPr>
        <w:t>2</w:t>
      </w:r>
      <w:r w:rsidRPr="00F934E4">
        <w:rPr>
          <w:rFonts w:asciiTheme="minorHAnsi" w:hAnsiTheme="minorHAnsi" w:cstheme="minorHAnsi"/>
          <w:lang w:val="en-GB"/>
        </w:rPr>
        <w:t xml:space="preserve"> with modification.</w:t>
      </w:r>
    </w:p>
    <w:p w14:paraId="70B72EA0" w14:textId="77777777" w:rsidR="00746E8D" w:rsidRPr="00F934E4" w:rsidRDefault="00746E8D" w:rsidP="00F668C6">
      <w:pPr>
        <w:pStyle w:val="ListParagraph"/>
        <w:numPr>
          <w:ilvl w:val="0"/>
          <w:numId w:val="5"/>
        </w:numPr>
        <w:spacing w:before="60" w:line="276" w:lineRule="auto"/>
        <w:ind w:left="1928" w:hanging="397"/>
        <w:contextualSpacing w:val="0"/>
        <w:jc w:val="both"/>
        <w:rPr>
          <w:rFonts w:asciiTheme="minorHAnsi" w:hAnsiTheme="minorHAnsi" w:cstheme="minorHAnsi"/>
          <w:lang w:val="en-GB"/>
        </w:rPr>
      </w:pPr>
      <w:r w:rsidRPr="00F934E4">
        <w:rPr>
          <w:rFonts w:asciiTheme="minorHAnsi" w:hAnsiTheme="minorHAnsi" w:cstheme="minorHAnsi"/>
          <w:lang w:val="en-GB"/>
        </w:rPr>
        <w:t>Higher concentrations (&gt; 20 vol-% H</w:t>
      </w:r>
      <w:r w:rsidRPr="00F934E4">
        <w:rPr>
          <w:rFonts w:asciiTheme="minorHAnsi" w:hAnsiTheme="minorHAnsi" w:cstheme="minorHAnsi"/>
          <w:vertAlign w:val="subscript"/>
          <w:lang w:val="en-GB"/>
        </w:rPr>
        <w:t>2</w:t>
      </w:r>
      <w:r w:rsidRPr="00F934E4">
        <w:rPr>
          <w:rFonts w:asciiTheme="minorHAnsi" w:hAnsiTheme="minorHAnsi" w:cstheme="minorHAnsi"/>
          <w:lang w:val="en-GB"/>
        </w:rPr>
        <w:t>) can be reached through R&amp;D by further measures or replacement.</w:t>
      </w:r>
    </w:p>
    <w:p w14:paraId="3E84AD68" w14:textId="77777777" w:rsidR="00746E8D" w:rsidRPr="00F934E4" w:rsidRDefault="00746E8D" w:rsidP="00F668C6">
      <w:pPr>
        <w:pStyle w:val="ListParagraph"/>
        <w:numPr>
          <w:ilvl w:val="0"/>
          <w:numId w:val="4"/>
        </w:numPr>
        <w:spacing w:before="60" w:line="276" w:lineRule="auto"/>
        <w:ind w:left="1531" w:hanging="397"/>
        <w:contextualSpacing w:val="0"/>
        <w:jc w:val="both"/>
        <w:rPr>
          <w:rFonts w:asciiTheme="minorHAnsi" w:hAnsiTheme="minorHAnsi" w:cstheme="minorHAnsi"/>
          <w:lang w:val="en-GB"/>
        </w:rPr>
      </w:pPr>
      <w:r w:rsidRPr="00F934E4">
        <w:rPr>
          <w:rFonts w:asciiTheme="minorHAnsi" w:hAnsiTheme="minorHAnsi" w:cstheme="minorHAnsi"/>
          <w:lang w:val="en-GB"/>
        </w:rPr>
        <w:t>Industrial processes:</w:t>
      </w:r>
    </w:p>
    <w:p w14:paraId="02FD3D3C" w14:textId="5B4BEBCC" w:rsidR="00746E8D" w:rsidRPr="00F934E4" w:rsidRDefault="00746E8D" w:rsidP="00F668C6">
      <w:pPr>
        <w:pStyle w:val="ListParagraph"/>
        <w:numPr>
          <w:ilvl w:val="0"/>
          <w:numId w:val="5"/>
        </w:numPr>
        <w:spacing w:before="60" w:line="276" w:lineRule="auto"/>
        <w:ind w:left="1928" w:hanging="397"/>
        <w:contextualSpacing w:val="0"/>
        <w:jc w:val="both"/>
        <w:rPr>
          <w:rFonts w:asciiTheme="minorHAnsi" w:hAnsiTheme="minorHAnsi" w:cstheme="minorHAnsi"/>
          <w:lang w:val="en-GB"/>
        </w:rPr>
      </w:pPr>
      <w:r w:rsidRPr="00F934E4">
        <w:rPr>
          <w:rFonts w:asciiTheme="minorHAnsi" w:hAnsiTheme="minorHAnsi" w:cstheme="minorHAnsi"/>
          <w:lang w:val="en-GB"/>
        </w:rPr>
        <w:t>Many industrial processes (except feedstock) are expected to accept 5 vol</w:t>
      </w:r>
      <w:r w:rsidR="00255A16">
        <w:rPr>
          <w:rFonts w:asciiTheme="minorHAnsi" w:hAnsiTheme="minorHAnsi" w:cstheme="minorHAnsi"/>
          <w:lang w:val="en-GB"/>
        </w:rPr>
        <w:t xml:space="preserve"> </w:t>
      </w:r>
      <w:r w:rsidRPr="00F934E4">
        <w:rPr>
          <w:rFonts w:asciiTheme="minorHAnsi" w:hAnsiTheme="minorHAnsi" w:cstheme="minorHAnsi"/>
          <w:lang w:val="en-GB"/>
        </w:rPr>
        <w:t>% H</w:t>
      </w:r>
      <w:r w:rsidRPr="00F934E4">
        <w:rPr>
          <w:rFonts w:asciiTheme="minorHAnsi" w:hAnsiTheme="minorHAnsi" w:cstheme="minorHAnsi"/>
          <w:vertAlign w:val="subscript"/>
          <w:lang w:val="en-GB"/>
        </w:rPr>
        <w:t>2</w:t>
      </w:r>
      <w:r w:rsidRPr="00F934E4">
        <w:rPr>
          <w:rFonts w:asciiTheme="minorHAnsi" w:hAnsiTheme="minorHAnsi" w:cstheme="minorHAnsi"/>
          <w:lang w:val="en-GB"/>
        </w:rPr>
        <w:t xml:space="preserve"> without modification.</w:t>
      </w:r>
    </w:p>
    <w:p w14:paraId="4822E117" w14:textId="77777777" w:rsidR="00746E8D" w:rsidRPr="00F934E4" w:rsidRDefault="00746E8D" w:rsidP="00F668C6">
      <w:pPr>
        <w:pStyle w:val="ListParagraph"/>
        <w:numPr>
          <w:ilvl w:val="0"/>
          <w:numId w:val="5"/>
        </w:numPr>
        <w:spacing w:before="60" w:line="276" w:lineRule="auto"/>
        <w:ind w:left="1928" w:hanging="397"/>
        <w:contextualSpacing w:val="0"/>
        <w:jc w:val="both"/>
        <w:rPr>
          <w:rFonts w:asciiTheme="minorHAnsi" w:hAnsiTheme="minorHAnsi" w:cstheme="minorHAnsi"/>
          <w:lang w:val="en-GB"/>
        </w:rPr>
      </w:pPr>
      <w:r w:rsidRPr="00F934E4">
        <w:rPr>
          <w:rFonts w:asciiTheme="minorHAnsi" w:hAnsiTheme="minorHAnsi" w:cstheme="minorHAnsi"/>
          <w:lang w:val="en-GB"/>
        </w:rPr>
        <w:t>Current power plant gas turbines, industries using natural gas as feedstock and CNG steel tanks are assessed to be sensitive to even small quantities of hydrogen. They need further R&amp;D/mitigation measures when planning to convey higher hydrogen concentrations.</w:t>
      </w:r>
    </w:p>
    <w:p w14:paraId="7D221555" w14:textId="7B4A0593" w:rsidR="00746E8D" w:rsidRPr="00F934E4" w:rsidRDefault="00746E8D" w:rsidP="00F668C6">
      <w:pPr>
        <w:pStyle w:val="ListParagraph"/>
        <w:numPr>
          <w:ilvl w:val="0"/>
          <w:numId w:val="5"/>
        </w:numPr>
        <w:spacing w:before="60" w:line="276" w:lineRule="auto"/>
        <w:ind w:left="1928" w:hanging="397"/>
        <w:contextualSpacing w:val="0"/>
        <w:jc w:val="both"/>
        <w:rPr>
          <w:rFonts w:asciiTheme="minorHAnsi" w:hAnsiTheme="minorHAnsi" w:cstheme="minorHAnsi"/>
          <w:lang w:val="en-GB"/>
        </w:rPr>
      </w:pPr>
      <w:proofErr w:type="spellStart"/>
      <w:r w:rsidRPr="00F934E4">
        <w:rPr>
          <w:rFonts w:asciiTheme="minorHAnsi" w:hAnsiTheme="minorHAnsi" w:cstheme="minorHAnsi"/>
          <w:lang w:val="en-GB"/>
        </w:rPr>
        <w:t>Thermoprocessing</w:t>
      </w:r>
      <w:proofErr w:type="spellEnd"/>
      <w:r w:rsidRPr="00F934E4">
        <w:rPr>
          <w:rFonts w:asciiTheme="minorHAnsi" w:hAnsiTheme="minorHAnsi" w:cstheme="minorHAnsi"/>
          <w:lang w:val="en-GB"/>
        </w:rPr>
        <w:t xml:space="preserve"> equipment (such as furnaces and burners) is expected to accept 15 vol</w:t>
      </w:r>
      <w:r w:rsidR="00255A16">
        <w:rPr>
          <w:rFonts w:asciiTheme="minorHAnsi" w:hAnsiTheme="minorHAnsi" w:cstheme="minorHAnsi"/>
          <w:lang w:val="en-GB"/>
        </w:rPr>
        <w:t xml:space="preserve"> </w:t>
      </w:r>
      <w:r w:rsidRPr="00F934E4">
        <w:rPr>
          <w:rFonts w:asciiTheme="minorHAnsi" w:hAnsiTheme="minorHAnsi" w:cstheme="minorHAnsi"/>
          <w:lang w:val="en-GB"/>
        </w:rPr>
        <w:t>% H</w:t>
      </w:r>
      <w:r w:rsidRPr="00F934E4">
        <w:rPr>
          <w:rFonts w:asciiTheme="minorHAnsi" w:hAnsiTheme="minorHAnsi" w:cstheme="minorHAnsi"/>
          <w:vertAlign w:val="subscript"/>
          <w:lang w:val="en-GB"/>
        </w:rPr>
        <w:t>2</w:t>
      </w:r>
      <w:r w:rsidRPr="00F934E4">
        <w:rPr>
          <w:rFonts w:asciiTheme="minorHAnsi" w:hAnsiTheme="minorHAnsi" w:cstheme="minorHAnsi"/>
          <w:lang w:val="en-GB"/>
        </w:rPr>
        <w:t xml:space="preserve"> with modifications.</w:t>
      </w:r>
    </w:p>
    <w:p w14:paraId="1F9956E4" w14:textId="59968E88" w:rsidR="00746E8D" w:rsidRPr="00F934E4" w:rsidRDefault="00746E8D" w:rsidP="00F668C6">
      <w:pPr>
        <w:pStyle w:val="ListParagraph"/>
        <w:numPr>
          <w:ilvl w:val="0"/>
          <w:numId w:val="5"/>
        </w:numPr>
        <w:spacing w:before="60" w:line="276" w:lineRule="auto"/>
        <w:ind w:left="1928" w:hanging="397"/>
        <w:contextualSpacing w:val="0"/>
        <w:jc w:val="both"/>
        <w:rPr>
          <w:rFonts w:asciiTheme="minorHAnsi" w:hAnsiTheme="minorHAnsi" w:cstheme="minorHAnsi"/>
          <w:lang w:val="en-GB"/>
        </w:rPr>
      </w:pPr>
      <w:r w:rsidRPr="00F934E4">
        <w:rPr>
          <w:rFonts w:asciiTheme="minorHAnsi" w:hAnsiTheme="minorHAnsi" w:cstheme="minorHAnsi"/>
          <w:lang w:val="en-GB"/>
        </w:rPr>
        <w:t>Higher concentrations (&gt; 15 vol</w:t>
      </w:r>
      <w:r w:rsidR="00255A16">
        <w:rPr>
          <w:rFonts w:asciiTheme="minorHAnsi" w:hAnsiTheme="minorHAnsi" w:cstheme="minorHAnsi"/>
          <w:lang w:val="en-GB"/>
        </w:rPr>
        <w:t xml:space="preserve"> </w:t>
      </w:r>
      <w:r w:rsidRPr="00F934E4">
        <w:rPr>
          <w:rFonts w:asciiTheme="minorHAnsi" w:hAnsiTheme="minorHAnsi" w:cstheme="minorHAnsi"/>
          <w:lang w:val="en-GB"/>
        </w:rPr>
        <w:t>% H</w:t>
      </w:r>
      <w:r w:rsidRPr="00F934E4">
        <w:rPr>
          <w:rFonts w:asciiTheme="minorHAnsi" w:hAnsiTheme="minorHAnsi" w:cstheme="minorHAnsi"/>
          <w:vertAlign w:val="subscript"/>
          <w:lang w:val="en-GB"/>
        </w:rPr>
        <w:t>2</w:t>
      </w:r>
      <w:r w:rsidRPr="00F934E4">
        <w:rPr>
          <w:rFonts w:asciiTheme="minorHAnsi" w:hAnsiTheme="minorHAnsi" w:cstheme="minorHAnsi"/>
          <w:lang w:val="en-GB"/>
        </w:rPr>
        <w:t xml:space="preserve">) can be tolerated through R&amp;D, further </w:t>
      </w:r>
      <w:proofErr w:type="gramStart"/>
      <w:r w:rsidRPr="00F934E4">
        <w:rPr>
          <w:rFonts w:asciiTheme="minorHAnsi" w:hAnsiTheme="minorHAnsi" w:cstheme="minorHAnsi"/>
          <w:lang w:val="en-GB"/>
        </w:rPr>
        <w:t>measures</w:t>
      </w:r>
      <w:proofErr w:type="gramEnd"/>
      <w:r w:rsidRPr="00F934E4">
        <w:rPr>
          <w:rFonts w:asciiTheme="minorHAnsi" w:hAnsiTheme="minorHAnsi" w:cstheme="minorHAnsi"/>
          <w:lang w:val="en-GB"/>
        </w:rPr>
        <w:t xml:space="preserve"> or replacement.</w:t>
      </w:r>
    </w:p>
    <w:p w14:paraId="58A729CA" w14:textId="5754B445" w:rsidR="00746E8D" w:rsidRPr="00F934E4" w:rsidRDefault="00746E8D" w:rsidP="00F668C6">
      <w:pPr>
        <w:pStyle w:val="ListParagraph"/>
        <w:numPr>
          <w:ilvl w:val="0"/>
          <w:numId w:val="5"/>
        </w:numPr>
        <w:spacing w:before="60" w:line="276" w:lineRule="auto"/>
        <w:ind w:left="1928" w:hanging="397"/>
        <w:contextualSpacing w:val="0"/>
        <w:jc w:val="both"/>
        <w:rPr>
          <w:rFonts w:asciiTheme="minorHAnsi" w:hAnsiTheme="minorHAnsi" w:cstheme="minorHAnsi"/>
          <w:lang w:val="en-GB"/>
        </w:rPr>
      </w:pPr>
      <w:r w:rsidRPr="00F934E4">
        <w:rPr>
          <w:rFonts w:asciiTheme="minorHAnsi" w:hAnsiTheme="minorHAnsi" w:cstheme="minorHAnsi"/>
          <w:lang w:val="en-GB"/>
        </w:rPr>
        <w:t>To enable hydrogen concentrations in the range of 5 to 10 vol</w:t>
      </w:r>
      <w:r w:rsidR="00255A16">
        <w:rPr>
          <w:rFonts w:asciiTheme="minorHAnsi" w:hAnsiTheme="minorHAnsi" w:cstheme="minorHAnsi"/>
          <w:lang w:val="en-GB"/>
        </w:rPr>
        <w:t xml:space="preserve"> </w:t>
      </w:r>
      <w:r w:rsidRPr="00F934E4">
        <w:rPr>
          <w:rFonts w:asciiTheme="minorHAnsi" w:hAnsiTheme="minorHAnsi" w:cstheme="minorHAnsi"/>
          <w:lang w:val="en-GB"/>
        </w:rPr>
        <w:t>% H</w:t>
      </w:r>
      <w:r w:rsidRPr="00F934E4">
        <w:rPr>
          <w:rFonts w:asciiTheme="minorHAnsi" w:hAnsiTheme="minorHAnsi" w:cstheme="minorHAnsi"/>
          <w:vertAlign w:val="subscript"/>
          <w:lang w:val="en-GB"/>
        </w:rPr>
        <w:t>2</w:t>
      </w:r>
      <w:r w:rsidRPr="00F934E4">
        <w:rPr>
          <w:rFonts w:asciiTheme="minorHAnsi" w:hAnsiTheme="minorHAnsi" w:cstheme="minorHAnsi"/>
          <w:lang w:val="en-GB"/>
        </w:rPr>
        <w:t>, R&amp;D is recommended to understand the effect on underground gas storage, gas turbines, process equipment in the chemical industry using natural gas feedstock and steel tanks for CNG vehicles.</w:t>
      </w:r>
    </w:p>
    <w:p w14:paraId="1FFB16BB" w14:textId="4BFE847C" w:rsidR="00746E8D" w:rsidRPr="00F934E4" w:rsidRDefault="00746E8D" w:rsidP="00F668C6">
      <w:pPr>
        <w:pStyle w:val="ListParagraph"/>
        <w:numPr>
          <w:ilvl w:val="0"/>
          <w:numId w:val="5"/>
        </w:numPr>
        <w:spacing w:before="60" w:line="276" w:lineRule="auto"/>
        <w:ind w:left="1928" w:hanging="397"/>
        <w:contextualSpacing w:val="0"/>
        <w:jc w:val="both"/>
        <w:rPr>
          <w:rFonts w:asciiTheme="minorHAnsi" w:hAnsiTheme="minorHAnsi" w:cstheme="minorHAnsi"/>
          <w:lang w:val="en-GB"/>
        </w:rPr>
      </w:pPr>
      <w:r w:rsidRPr="00F934E4">
        <w:rPr>
          <w:rFonts w:asciiTheme="minorHAnsi" w:hAnsiTheme="minorHAnsi" w:cstheme="minorHAnsi"/>
          <w:lang w:val="en-GB"/>
        </w:rPr>
        <w:t>To exceed hydrogen concentrations of 10 vol</w:t>
      </w:r>
      <w:r w:rsidR="00255A16">
        <w:rPr>
          <w:rFonts w:asciiTheme="minorHAnsi" w:hAnsiTheme="minorHAnsi" w:cstheme="minorHAnsi"/>
          <w:lang w:val="en-GB"/>
        </w:rPr>
        <w:t xml:space="preserve"> </w:t>
      </w:r>
      <w:r w:rsidRPr="00F934E4">
        <w:rPr>
          <w:rFonts w:asciiTheme="minorHAnsi" w:hAnsiTheme="minorHAnsi" w:cstheme="minorHAnsi"/>
          <w:lang w:val="en-GB"/>
        </w:rPr>
        <w:t>% H</w:t>
      </w:r>
      <w:r w:rsidRPr="00F934E4">
        <w:rPr>
          <w:rFonts w:asciiTheme="minorHAnsi" w:hAnsiTheme="minorHAnsi" w:cstheme="minorHAnsi"/>
          <w:vertAlign w:val="subscript"/>
          <w:lang w:val="en-GB"/>
        </w:rPr>
        <w:t>2</w:t>
      </w:r>
      <w:r w:rsidRPr="00F934E4">
        <w:rPr>
          <w:rFonts w:asciiTheme="minorHAnsi" w:hAnsiTheme="minorHAnsi" w:cstheme="minorHAnsi"/>
          <w:lang w:val="en-GB"/>
        </w:rPr>
        <w:t xml:space="preserve"> in addition to the topics mentioned before, a particular R&amp;D focus is required on gas transmission issues, including pipelines and compressors. Underground gas storages (including well completion and the suitability of porous rock structures) should also be investigated. In addition, metering devices and industrial gas use need to be addressed.</w:t>
      </w:r>
    </w:p>
    <w:p w14:paraId="7EA3D06F" w14:textId="6F4951FE" w:rsidR="00746E8D" w:rsidRPr="00F934E4" w:rsidRDefault="00746E8D" w:rsidP="00F668C6">
      <w:pPr>
        <w:pStyle w:val="ListParagraph"/>
        <w:numPr>
          <w:ilvl w:val="0"/>
          <w:numId w:val="5"/>
        </w:numPr>
        <w:spacing w:before="60" w:line="276" w:lineRule="auto"/>
        <w:ind w:left="1928" w:hanging="397"/>
        <w:contextualSpacing w:val="0"/>
        <w:jc w:val="both"/>
        <w:rPr>
          <w:rFonts w:asciiTheme="minorHAnsi" w:hAnsiTheme="minorHAnsi" w:cstheme="minorHAnsi"/>
          <w:lang w:val="en-GB"/>
        </w:rPr>
      </w:pPr>
      <w:r w:rsidRPr="00F934E4">
        <w:rPr>
          <w:rFonts w:asciiTheme="minorHAnsi" w:hAnsiTheme="minorHAnsi" w:cstheme="minorHAnsi"/>
          <w:lang w:val="en-GB"/>
        </w:rPr>
        <w:t>R&amp;D for residential appliances is especially recommended for hydrogen concentrations above 20 vol</w:t>
      </w:r>
      <w:r w:rsidR="00255A16">
        <w:rPr>
          <w:rFonts w:asciiTheme="minorHAnsi" w:hAnsiTheme="minorHAnsi" w:cstheme="minorHAnsi"/>
          <w:lang w:val="en-GB"/>
        </w:rPr>
        <w:t xml:space="preserve"> </w:t>
      </w:r>
      <w:r w:rsidRPr="00F934E4">
        <w:rPr>
          <w:rFonts w:asciiTheme="minorHAnsi" w:hAnsiTheme="minorHAnsi" w:cstheme="minorHAnsi"/>
          <w:lang w:val="en-GB"/>
        </w:rPr>
        <w:t>% H</w:t>
      </w:r>
      <w:r w:rsidRPr="00F934E4">
        <w:rPr>
          <w:rFonts w:asciiTheme="minorHAnsi" w:hAnsiTheme="minorHAnsi" w:cstheme="minorHAnsi"/>
          <w:vertAlign w:val="subscript"/>
          <w:lang w:val="en-GB"/>
        </w:rPr>
        <w:t>2</w:t>
      </w:r>
      <w:r w:rsidRPr="00F934E4">
        <w:rPr>
          <w:rFonts w:asciiTheme="minorHAnsi" w:hAnsiTheme="minorHAnsi" w:cstheme="minorHAnsi"/>
          <w:lang w:val="en-GB"/>
        </w:rPr>
        <w:t xml:space="preserve"> and to understand the impact of varying hydrogen concentrations in general. A few cases are expected where R&amp;D will be recommended for hydrogen concentrations above 10 vol</w:t>
      </w:r>
      <w:r w:rsidR="00255A16">
        <w:rPr>
          <w:rFonts w:asciiTheme="minorHAnsi" w:hAnsiTheme="minorHAnsi" w:cstheme="minorHAnsi"/>
          <w:lang w:val="en-GB"/>
        </w:rPr>
        <w:t xml:space="preserve"> </w:t>
      </w:r>
      <w:r w:rsidRPr="00F934E4">
        <w:rPr>
          <w:rFonts w:asciiTheme="minorHAnsi" w:hAnsiTheme="minorHAnsi" w:cstheme="minorHAnsi"/>
          <w:lang w:val="en-GB"/>
        </w:rPr>
        <w:t>% H</w:t>
      </w:r>
      <w:r w:rsidRPr="00F934E4">
        <w:rPr>
          <w:rFonts w:asciiTheme="minorHAnsi" w:hAnsiTheme="minorHAnsi" w:cstheme="minorHAnsi"/>
          <w:vertAlign w:val="subscript"/>
          <w:lang w:val="en-GB"/>
        </w:rPr>
        <w:t>2</w:t>
      </w:r>
      <w:r w:rsidRPr="00F934E4">
        <w:rPr>
          <w:rFonts w:asciiTheme="minorHAnsi" w:hAnsiTheme="minorHAnsi" w:cstheme="minorHAnsi"/>
          <w:lang w:val="en-GB"/>
        </w:rPr>
        <w:t>.</w:t>
      </w:r>
    </w:p>
    <w:p w14:paraId="6D801D9E" w14:textId="77777777" w:rsidR="00746E8D" w:rsidRPr="00F934E4" w:rsidRDefault="00746E8D" w:rsidP="00F668C6">
      <w:pPr>
        <w:pStyle w:val="ListParagraph"/>
        <w:numPr>
          <w:ilvl w:val="0"/>
          <w:numId w:val="5"/>
        </w:numPr>
        <w:spacing w:before="60" w:line="276" w:lineRule="auto"/>
        <w:ind w:left="1928" w:hanging="397"/>
        <w:contextualSpacing w:val="0"/>
        <w:jc w:val="both"/>
        <w:rPr>
          <w:rFonts w:asciiTheme="minorHAnsi" w:hAnsiTheme="minorHAnsi" w:cstheme="minorHAnsi"/>
          <w:lang w:val="en-GB"/>
        </w:rPr>
      </w:pPr>
      <w:r w:rsidRPr="00F934E4">
        <w:rPr>
          <w:rFonts w:asciiTheme="minorHAnsi" w:hAnsiTheme="minorHAnsi" w:cstheme="minorHAnsi"/>
          <w:lang w:val="en-GB"/>
        </w:rPr>
        <w:t>More focus should be on developing retrofit solutions for existing installed appliances to handle hydrogen-natural gas mixtures.</w:t>
      </w:r>
    </w:p>
    <w:p w14:paraId="66FD3ACB" w14:textId="77777777" w:rsidR="00746E8D" w:rsidRPr="00F934E4" w:rsidRDefault="00746E8D" w:rsidP="00F668C6">
      <w:pPr>
        <w:pStyle w:val="ListParagraph"/>
        <w:numPr>
          <w:ilvl w:val="0"/>
          <w:numId w:val="5"/>
        </w:numPr>
        <w:spacing w:before="60" w:line="276" w:lineRule="auto"/>
        <w:ind w:left="1928" w:hanging="397"/>
        <w:contextualSpacing w:val="0"/>
        <w:jc w:val="both"/>
        <w:rPr>
          <w:rFonts w:asciiTheme="minorHAnsi" w:hAnsiTheme="minorHAnsi" w:cstheme="minorHAnsi"/>
          <w:lang w:val="en-GB"/>
        </w:rPr>
      </w:pPr>
      <w:r w:rsidRPr="00F934E4">
        <w:rPr>
          <w:rFonts w:asciiTheme="minorHAnsi" w:hAnsiTheme="minorHAnsi" w:cstheme="minorHAnsi"/>
          <w:lang w:val="en-GB"/>
        </w:rPr>
        <w:t>Mitigation technologies used to reduce hydrogen concentration in gas grids exist, such as membranes and methanation. They are considered essential to protect sensitive equipment and processes and can be installed beforehand. Further R&amp;D is recommended in such cases.</w:t>
      </w:r>
    </w:p>
    <w:p w14:paraId="1BC57C74" w14:textId="77777777" w:rsidR="00746E8D" w:rsidRPr="00F934E4" w:rsidRDefault="00746E8D" w:rsidP="00F668C6">
      <w:pPr>
        <w:pStyle w:val="ListParagraph"/>
        <w:numPr>
          <w:ilvl w:val="0"/>
          <w:numId w:val="5"/>
        </w:numPr>
        <w:spacing w:before="60" w:line="276" w:lineRule="auto"/>
        <w:ind w:left="1928" w:hanging="397"/>
        <w:contextualSpacing w:val="0"/>
        <w:jc w:val="both"/>
        <w:rPr>
          <w:rFonts w:asciiTheme="minorHAnsi" w:hAnsiTheme="minorHAnsi" w:cstheme="minorHAnsi"/>
          <w:lang w:val="en-GB"/>
        </w:rPr>
      </w:pPr>
      <w:r w:rsidRPr="00F934E4">
        <w:rPr>
          <w:rFonts w:asciiTheme="minorHAnsi" w:hAnsiTheme="minorHAnsi" w:cstheme="minorHAnsi"/>
          <w:lang w:val="en-GB"/>
        </w:rPr>
        <w:t>Further R&amp;D does not mean that the equipment is not suitable for use with hydrogen-natural gas mixtures or that no modification measures are currently available. Instead, it reflects the need for innovation to develop new opportunities to maximise the existing infrastructure's benefit.</w:t>
      </w:r>
    </w:p>
    <w:p w14:paraId="0244278A" w14:textId="77777777" w:rsidR="00746E8D" w:rsidRPr="00F934E4" w:rsidRDefault="00746E8D" w:rsidP="00F668C6">
      <w:pPr>
        <w:spacing w:line="276" w:lineRule="auto"/>
        <w:ind w:left="1134"/>
        <w:jc w:val="both"/>
        <w:rPr>
          <w:rFonts w:cstheme="minorHAnsi"/>
          <w:highlight w:val="yellow"/>
        </w:rPr>
      </w:pPr>
    </w:p>
    <w:p w14:paraId="242602E2" w14:textId="6C4CB32D" w:rsidR="00746E8D" w:rsidRDefault="004C7736" w:rsidP="004C7736">
      <w:pPr>
        <w:pStyle w:val="Heading3"/>
      </w:pPr>
      <w:bookmarkStart w:id="20" w:name="_Toc121830932"/>
      <w:r>
        <w:lastRenderedPageBreak/>
        <w:t xml:space="preserve">3.1.3 </w:t>
      </w:r>
      <w:r w:rsidR="00746E8D" w:rsidRPr="00746E8D">
        <w:t>RELEVANT STAKEHOLDERS’ POSITIONS</w:t>
      </w:r>
      <w:bookmarkEnd w:id="20"/>
    </w:p>
    <w:p w14:paraId="7EB94827" w14:textId="77777777" w:rsidR="00746E8D" w:rsidRPr="00544014" w:rsidRDefault="00746E8D" w:rsidP="00F668C6">
      <w:pPr>
        <w:spacing w:line="276" w:lineRule="auto"/>
        <w:jc w:val="both"/>
      </w:pPr>
      <w:r w:rsidRPr="00544014">
        <w:t xml:space="preserve">In the broader context of the Green Deal and on the pathway to achieve the 2050 decarbonisation targets, </w:t>
      </w:r>
      <w:r>
        <w:t>a complete</w:t>
      </w:r>
      <w:r w:rsidRPr="00544014">
        <w:t xml:space="preserve"> system analysis of the energy system is necessary </w:t>
      </w:r>
      <w:r>
        <w:t>to</w:t>
      </w:r>
      <w:r w:rsidRPr="00544014">
        <w:t xml:space="preserve"> assess the most efficient way forward, especially in the gas sector. In this context, coordination and information exchange between all gas systems operators and other stakeholders is </w:t>
      </w:r>
      <w:r>
        <w:t>critical</w:t>
      </w:r>
      <w:r w:rsidRPr="00544014">
        <w:t xml:space="preserve"> to </w:t>
      </w:r>
      <w:r>
        <w:t>managing</w:t>
      </w:r>
      <w:r w:rsidRPr="00544014">
        <w:t xml:space="preserve"> the system efficiently</w:t>
      </w:r>
      <w:r>
        <w:t>. Still, it is</w:t>
      </w:r>
      <w:r w:rsidRPr="00544014">
        <w:t xml:space="preserve"> also pivotal to understand the reality behind gas uses today.</w:t>
      </w:r>
    </w:p>
    <w:p w14:paraId="3FBEC196" w14:textId="77777777" w:rsidR="00746E8D" w:rsidRDefault="00746E8D" w:rsidP="00F668C6">
      <w:pPr>
        <w:spacing w:line="276" w:lineRule="auto"/>
        <w:jc w:val="both"/>
      </w:pPr>
      <w:r w:rsidRPr="00544014">
        <w:t>ENTSOG ‘European Network of Transmission System Operators for Gas’</w:t>
      </w:r>
      <w:r>
        <w:t xml:space="preserve"> </w:t>
      </w:r>
      <w:r w:rsidRPr="00544014">
        <w:t>propose</w:t>
      </w:r>
      <w:r>
        <w:t>d</w:t>
      </w:r>
      <w:r w:rsidRPr="002735B4">
        <w:t xml:space="preserve"> with DSO organisations (</w:t>
      </w:r>
      <w:proofErr w:type="spellStart"/>
      <w:r w:rsidRPr="002735B4">
        <w:t>Eurogas</w:t>
      </w:r>
      <w:proofErr w:type="spellEnd"/>
      <w:r w:rsidRPr="002735B4">
        <w:t>, Geode, CEDEC, GD4S)</w:t>
      </w:r>
      <w:r w:rsidRPr="00544014">
        <w:t xml:space="preserve"> to establish a dedica</w:t>
      </w:r>
      <w:r w:rsidRPr="00F30FF2">
        <w:t>ted prime movers’ group on gas quality and hydrogen handling. Relevant stakeholders of the gas value chain have been invited to participate in the prime movers’ group (</w:t>
      </w:r>
      <w:r w:rsidRPr="00F30FF2">
        <w:fldChar w:fldCharType="begin"/>
      </w:r>
      <w:r w:rsidRPr="00F30FF2">
        <w:instrText xml:space="preserve"> REF _Ref96341599 \h </w:instrText>
      </w:r>
      <w:r>
        <w:instrText xml:space="preserve"> \* MERGEFORMAT </w:instrText>
      </w:r>
      <w:r w:rsidRPr="00F30FF2">
        <w:fldChar w:fldCharType="separate"/>
      </w:r>
      <w:r w:rsidRPr="00186892">
        <w:rPr>
          <w:b/>
          <w:color w:val="007AAE"/>
        </w:rPr>
        <w:t xml:space="preserve">Figure </w:t>
      </w:r>
      <w:r w:rsidRPr="00186892">
        <w:rPr>
          <w:b/>
          <w:noProof/>
          <w:color w:val="007AAE"/>
        </w:rPr>
        <w:t>4</w:t>
      </w:r>
      <w:r w:rsidRPr="00F30FF2">
        <w:fldChar w:fldCharType="end"/>
      </w:r>
      <w:r w:rsidRPr="00F30FF2">
        <w:t>).</w:t>
      </w:r>
    </w:p>
    <w:p w14:paraId="76B7A8BD" w14:textId="77777777" w:rsidR="00746E8D" w:rsidRPr="009252DF" w:rsidRDefault="00746E8D" w:rsidP="00F25DE1">
      <w:pPr>
        <w:keepNext/>
        <w:spacing w:line="276" w:lineRule="auto"/>
        <w:jc w:val="center"/>
      </w:pPr>
      <w:r>
        <w:rPr>
          <w:noProof/>
        </w:rPr>
        <w:drawing>
          <wp:inline distT="0" distB="0" distL="0" distR="0" wp14:anchorId="4C90B517" wp14:editId="66801B47">
            <wp:extent cx="4220598" cy="3240000"/>
            <wp:effectExtent l="0" t="0" r="8890" b="0"/>
            <wp:docPr id="30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20598" cy="3240000"/>
                    </a:xfrm>
                    <a:prstGeom prst="rect">
                      <a:avLst/>
                    </a:prstGeom>
                    <a:noFill/>
                  </pic:spPr>
                </pic:pic>
              </a:graphicData>
            </a:graphic>
          </wp:inline>
        </w:drawing>
      </w:r>
    </w:p>
    <w:p w14:paraId="7ED153F7" w14:textId="006A117A" w:rsidR="00746E8D" w:rsidRPr="009F6F8E" w:rsidRDefault="00746E8D" w:rsidP="00F668C6">
      <w:pPr>
        <w:spacing w:before="120" w:line="276" w:lineRule="auto"/>
        <w:ind w:left="2552" w:right="1134" w:hanging="1418"/>
        <w:jc w:val="both"/>
        <w:rPr>
          <w:sz w:val="18"/>
          <w:szCs w:val="18"/>
        </w:rPr>
      </w:pPr>
      <w:bookmarkStart w:id="21" w:name="_Ref96341599"/>
      <w:r w:rsidRPr="008742FB">
        <w:rPr>
          <w:b/>
          <w:color w:val="007AAE"/>
          <w:sz w:val="18"/>
          <w:szCs w:val="18"/>
        </w:rPr>
        <w:t xml:space="preserve">Figure </w:t>
      </w:r>
      <w:r w:rsidRPr="008742FB">
        <w:rPr>
          <w:b/>
          <w:color w:val="007AAE"/>
          <w:sz w:val="18"/>
          <w:szCs w:val="18"/>
        </w:rPr>
        <w:fldChar w:fldCharType="begin"/>
      </w:r>
      <w:r w:rsidRPr="008742FB">
        <w:rPr>
          <w:b/>
          <w:color w:val="007AAE"/>
          <w:sz w:val="18"/>
          <w:szCs w:val="18"/>
        </w:rPr>
        <w:instrText xml:space="preserve"> SEQ Figure \* ARABIC </w:instrText>
      </w:r>
      <w:r w:rsidRPr="008742FB">
        <w:rPr>
          <w:b/>
          <w:color w:val="007AAE"/>
          <w:sz w:val="18"/>
          <w:szCs w:val="18"/>
        </w:rPr>
        <w:fldChar w:fldCharType="separate"/>
      </w:r>
      <w:r w:rsidR="00EF1E54">
        <w:rPr>
          <w:b/>
          <w:noProof/>
          <w:color w:val="007AAE"/>
          <w:sz w:val="18"/>
          <w:szCs w:val="18"/>
        </w:rPr>
        <w:t>4</w:t>
      </w:r>
      <w:r w:rsidRPr="008742FB">
        <w:rPr>
          <w:b/>
          <w:color w:val="007AAE"/>
          <w:sz w:val="18"/>
          <w:szCs w:val="18"/>
        </w:rPr>
        <w:fldChar w:fldCharType="end"/>
      </w:r>
      <w:bookmarkEnd w:id="21"/>
      <w:r w:rsidRPr="008742FB">
        <w:rPr>
          <w:bCs/>
          <w:sz w:val="18"/>
          <w:szCs w:val="18"/>
        </w:rPr>
        <w:t>.-</w:t>
      </w:r>
      <w:r w:rsidRPr="009252DF">
        <w:rPr>
          <w:b/>
          <w:sz w:val="18"/>
          <w:szCs w:val="18"/>
        </w:rPr>
        <w:tab/>
      </w:r>
      <w:r w:rsidRPr="00112E52">
        <w:rPr>
          <w:sz w:val="18"/>
          <w:szCs w:val="18"/>
        </w:rPr>
        <w:t xml:space="preserve">Relevant stakeholders of the gas value chain </w:t>
      </w:r>
      <w:r>
        <w:rPr>
          <w:sz w:val="18"/>
          <w:szCs w:val="18"/>
        </w:rPr>
        <w:t xml:space="preserve">involved in </w:t>
      </w:r>
      <w:r w:rsidRPr="00112E52">
        <w:rPr>
          <w:sz w:val="18"/>
          <w:szCs w:val="18"/>
        </w:rPr>
        <w:t>the prime movers’ group</w:t>
      </w:r>
      <w:r>
        <w:rPr>
          <w:sz w:val="18"/>
          <w:szCs w:val="18"/>
        </w:rPr>
        <w:t>*</w:t>
      </w:r>
      <w:r w:rsidRPr="009252DF">
        <w:rPr>
          <w:sz w:val="18"/>
          <w:szCs w:val="18"/>
        </w:rPr>
        <w:t>.</w:t>
      </w:r>
      <w:r>
        <w:rPr>
          <w:sz w:val="18"/>
          <w:szCs w:val="18"/>
        </w:rPr>
        <w:t xml:space="preserve"> </w:t>
      </w:r>
      <w:r w:rsidRPr="009F6F8E">
        <w:rPr>
          <w:b/>
          <w:bCs/>
          <w:color w:val="007AAE"/>
          <w:sz w:val="18"/>
          <w:szCs w:val="18"/>
        </w:rPr>
        <w:fldChar w:fldCharType="begin"/>
      </w:r>
      <w:r w:rsidRPr="009F6F8E">
        <w:rPr>
          <w:b/>
          <w:bCs/>
          <w:color w:val="007AAE"/>
          <w:sz w:val="18"/>
          <w:szCs w:val="18"/>
        </w:rPr>
        <w:instrText xml:space="preserve"> REF _Ref96686249 \r \h </w:instrText>
      </w:r>
      <w:r>
        <w:rPr>
          <w:b/>
          <w:bCs/>
          <w:color w:val="007AAE"/>
          <w:sz w:val="18"/>
          <w:szCs w:val="18"/>
        </w:rPr>
        <w:instrText xml:space="preserve"> \* MERGEFORMAT </w:instrText>
      </w:r>
      <w:r w:rsidRPr="009F6F8E">
        <w:rPr>
          <w:b/>
          <w:bCs/>
          <w:color w:val="007AAE"/>
          <w:sz w:val="18"/>
          <w:szCs w:val="18"/>
        </w:rPr>
      </w:r>
      <w:r w:rsidRPr="009F6F8E">
        <w:rPr>
          <w:b/>
          <w:bCs/>
          <w:color w:val="007AAE"/>
          <w:sz w:val="18"/>
          <w:szCs w:val="18"/>
        </w:rPr>
        <w:fldChar w:fldCharType="separate"/>
      </w:r>
      <w:r>
        <w:rPr>
          <w:b/>
          <w:bCs/>
          <w:color w:val="007AAE"/>
          <w:sz w:val="18"/>
          <w:szCs w:val="18"/>
        </w:rPr>
        <w:t>[8]</w:t>
      </w:r>
      <w:r w:rsidRPr="009F6F8E">
        <w:rPr>
          <w:b/>
          <w:bCs/>
          <w:color w:val="007AAE"/>
          <w:sz w:val="18"/>
          <w:szCs w:val="18"/>
        </w:rPr>
        <w:fldChar w:fldCharType="end"/>
      </w:r>
    </w:p>
    <w:p w14:paraId="3F8F2DEE" w14:textId="77777777" w:rsidR="00746E8D" w:rsidRPr="00112E52" w:rsidRDefault="00746E8D" w:rsidP="00F668C6">
      <w:pPr>
        <w:spacing w:before="60" w:line="276" w:lineRule="auto"/>
        <w:ind w:left="2835" w:right="1134"/>
        <w:jc w:val="both"/>
        <w:rPr>
          <w:sz w:val="16"/>
          <w:szCs w:val="18"/>
        </w:rPr>
      </w:pPr>
      <w:r w:rsidRPr="00112E52">
        <w:rPr>
          <w:sz w:val="16"/>
          <w:szCs w:val="18"/>
        </w:rPr>
        <w:t>* Other sector associations were also invited to join</w:t>
      </w:r>
      <w:r>
        <w:rPr>
          <w:sz w:val="16"/>
          <w:szCs w:val="18"/>
        </w:rPr>
        <w:t>,</w:t>
      </w:r>
      <w:r w:rsidRPr="00112E52">
        <w:rPr>
          <w:sz w:val="16"/>
          <w:szCs w:val="18"/>
        </w:rPr>
        <w:t xml:space="preserve"> although no answer was received.</w:t>
      </w:r>
    </w:p>
    <w:p w14:paraId="72E1DF65" w14:textId="77777777" w:rsidR="00746E8D" w:rsidRPr="00112E52" w:rsidRDefault="00746E8D" w:rsidP="00F668C6">
      <w:pPr>
        <w:spacing w:before="60" w:line="276" w:lineRule="auto"/>
        <w:ind w:left="2835" w:right="1134"/>
        <w:jc w:val="both"/>
        <w:rPr>
          <w:sz w:val="16"/>
          <w:szCs w:val="18"/>
        </w:rPr>
      </w:pPr>
      <w:r w:rsidRPr="00112E52">
        <w:rPr>
          <w:sz w:val="16"/>
          <w:szCs w:val="18"/>
        </w:rPr>
        <w:t>** GWI representative was invited to participate due to the experience and involvement in gas quality topics during the past</w:t>
      </w:r>
      <w:r>
        <w:rPr>
          <w:sz w:val="16"/>
          <w:szCs w:val="18"/>
        </w:rPr>
        <w:t xml:space="preserve"> </w:t>
      </w:r>
      <w:r w:rsidRPr="00112E52">
        <w:rPr>
          <w:sz w:val="16"/>
          <w:szCs w:val="18"/>
        </w:rPr>
        <w:t xml:space="preserve">years, particularly in CEN </w:t>
      </w:r>
      <w:proofErr w:type="spellStart"/>
      <w:r w:rsidRPr="00112E52">
        <w:rPr>
          <w:sz w:val="16"/>
          <w:szCs w:val="18"/>
        </w:rPr>
        <w:t>SFGas</w:t>
      </w:r>
      <w:proofErr w:type="spellEnd"/>
      <w:r w:rsidRPr="00112E52">
        <w:rPr>
          <w:sz w:val="16"/>
          <w:szCs w:val="18"/>
        </w:rPr>
        <w:t xml:space="preserve"> GQS work</w:t>
      </w:r>
      <w:r>
        <w:rPr>
          <w:sz w:val="16"/>
          <w:szCs w:val="18"/>
        </w:rPr>
        <w:t>.</w:t>
      </w:r>
    </w:p>
    <w:p w14:paraId="5E442106" w14:textId="77777777" w:rsidR="00746E8D" w:rsidRPr="00112E52" w:rsidRDefault="00746E8D" w:rsidP="00F668C6">
      <w:pPr>
        <w:spacing w:before="60" w:line="276" w:lineRule="auto"/>
        <w:ind w:left="2835" w:right="1134"/>
        <w:jc w:val="both"/>
        <w:rPr>
          <w:sz w:val="16"/>
          <w:szCs w:val="18"/>
        </w:rPr>
      </w:pPr>
      <w:r w:rsidRPr="00112E52">
        <w:rPr>
          <w:sz w:val="16"/>
          <w:szCs w:val="18"/>
        </w:rPr>
        <w:t>*** These stakeholders accepted the invitation to join the group</w:t>
      </w:r>
      <w:r>
        <w:rPr>
          <w:sz w:val="16"/>
          <w:szCs w:val="18"/>
        </w:rPr>
        <w:t>,</w:t>
      </w:r>
      <w:r w:rsidRPr="00112E52">
        <w:rPr>
          <w:sz w:val="16"/>
          <w:szCs w:val="18"/>
        </w:rPr>
        <w:t xml:space="preserve"> although </w:t>
      </w:r>
      <w:r>
        <w:rPr>
          <w:sz w:val="16"/>
          <w:szCs w:val="18"/>
        </w:rPr>
        <w:t xml:space="preserve">they </w:t>
      </w:r>
      <w:r w:rsidRPr="00112E52">
        <w:rPr>
          <w:sz w:val="16"/>
          <w:szCs w:val="18"/>
        </w:rPr>
        <w:t xml:space="preserve">did not actively </w:t>
      </w:r>
      <w:r>
        <w:rPr>
          <w:sz w:val="16"/>
          <w:szCs w:val="18"/>
        </w:rPr>
        <w:t>provide</w:t>
      </w:r>
      <w:r w:rsidRPr="00112E52">
        <w:rPr>
          <w:sz w:val="16"/>
          <w:szCs w:val="18"/>
        </w:rPr>
        <w:t xml:space="preserve"> inputs.</w:t>
      </w:r>
    </w:p>
    <w:p w14:paraId="690857D2" w14:textId="77777777" w:rsidR="00746E8D" w:rsidRPr="00544014" w:rsidRDefault="00746E8D" w:rsidP="00F668C6">
      <w:pPr>
        <w:spacing w:line="276" w:lineRule="auto"/>
        <w:jc w:val="both"/>
      </w:pPr>
      <w:r w:rsidRPr="00544014">
        <w:t xml:space="preserve">This group </w:t>
      </w:r>
      <w:r w:rsidRPr="002735B4">
        <w:t>discusses innovative and feasible ways to handle gas quality in fluctuating blends and pure hydrogen grids in the future gas system</w:t>
      </w:r>
      <w:r w:rsidRPr="00544014">
        <w:t xml:space="preserve"> and the main technical challenges foreseen.</w:t>
      </w:r>
      <w:r>
        <w:t xml:space="preserve"> </w:t>
      </w:r>
      <w:r w:rsidRPr="00544014">
        <w:t xml:space="preserve">The final stage will be to </w:t>
      </w:r>
      <w:r>
        <w:t xml:space="preserve">better understand the main principles to handle gas quality related to renewable, </w:t>
      </w:r>
      <w:proofErr w:type="gramStart"/>
      <w:r>
        <w:t>decarbonised</w:t>
      </w:r>
      <w:proofErr w:type="gramEnd"/>
      <w:r>
        <w:t xml:space="preserve"> and low carbon gases. The aim is to optimise the diversification of supplies and the grid's decarbonisation and guarantee end-user safety and access</w:t>
      </w:r>
      <w:r w:rsidRPr="00544014">
        <w:t xml:space="preserve"> </w:t>
      </w:r>
      <w:r>
        <w:t xml:space="preserve">to </w:t>
      </w:r>
      <w:r w:rsidRPr="00544014">
        <w:t>the product they require.</w:t>
      </w:r>
    </w:p>
    <w:p w14:paraId="1CC4BB9D" w14:textId="1E804E5B" w:rsidR="00746E8D" w:rsidRDefault="00746E8D" w:rsidP="00F668C6">
      <w:pPr>
        <w:spacing w:line="276" w:lineRule="auto"/>
        <w:jc w:val="both"/>
      </w:pPr>
      <w:r>
        <w:t>T</w:t>
      </w:r>
      <w:r w:rsidRPr="00733C9D">
        <w:t>he prime movers’ group will continue meeting during</w:t>
      </w:r>
      <w:r>
        <w:t xml:space="preserve"> </w:t>
      </w:r>
      <w:r w:rsidRPr="00733C9D">
        <w:t>the first half of 2022</w:t>
      </w:r>
      <w:r>
        <w:t xml:space="preserve">, </w:t>
      </w:r>
      <w:proofErr w:type="gramStart"/>
      <w:r>
        <w:t>taking into account</w:t>
      </w:r>
      <w:proofErr w:type="gramEnd"/>
      <w:r w:rsidRPr="00733C9D">
        <w:t xml:space="preserve"> the outcome of the new legislative (Gas Directive and Gas Regulation)</w:t>
      </w:r>
      <w:r>
        <w:t>. Yet, s</w:t>
      </w:r>
      <w:r w:rsidRPr="00F30FF2">
        <w:t>takeholders</w:t>
      </w:r>
      <w:r>
        <w:t xml:space="preserve">' </w:t>
      </w:r>
      <w:r w:rsidRPr="00F30FF2">
        <w:t>discussions</w:t>
      </w:r>
      <w:r>
        <w:t xml:space="preserve"> to date</w:t>
      </w:r>
      <w:r w:rsidRPr="00F30FF2">
        <w:t xml:space="preserve"> have led to a better understanding of</w:t>
      </w:r>
      <w:r>
        <w:t xml:space="preserve"> </w:t>
      </w:r>
      <w:r w:rsidRPr="00F30FF2">
        <w:t>wh</w:t>
      </w:r>
      <w:r w:rsidR="00B62647">
        <w:t>at</w:t>
      </w:r>
      <w:r w:rsidRPr="00F30FF2">
        <w:t xml:space="preserve"> challenges may arise and wh</w:t>
      </w:r>
      <w:r w:rsidR="00B62647">
        <w:t>at</w:t>
      </w:r>
      <w:r w:rsidRPr="00F30FF2">
        <w:t xml:space="preserve"> tools and</w:t>
      </w:r>
      <w:r>
        <w:t xml:space="preserve"> </w:t>
      </w:r>
      <w:r w:rsidRPr="00F30FF2">
        <w:t xml:space="preserve">solutions </w:t>
      </w:r>
      <w:r>
        <w:t>must</w:t>
      </w:r>
      <w:r w:rsidRPr="00F30FF2">
        <w:t xml:space="preserve"> be implemented to ensure a</w:t>
      </w:r>
      <w:r>
        <w:t xml:space="preserve"> </w:t>
      </w:r>
      <w:r w:rsidRPr="00F30FF2">
        <w:t>smooth transition. As a result, the group conclude</w:t>
      </w:r>
      <w:r>
        <w:t xml:space="preserve">d in 2021 </w:t>
      </w:r>
      <w:r w:rsidRPr="00F30FF2">
        <w:t>that</w:t>
      </w:r>
      <w:r>
        <w:t xml:space="preserve"> </w:t>
      </w:r>
      <w:r w:rsidRPr="009F6F8E">
        <w:rPr>
          <w:b/>
          <w:bCs/>
          <w:color w:val="007AAE"/>
        </w:rPr>
        <w:fldChar w:fldCharType="begin"/>
      </w:r>
      <w:r w:rsidRPr="009F6F8E">
        <w:rPr>
          <w:b/>
          <w:bCs/>
          <w:color w:val="007AAE"/>
        </w:rPr>
        <w:instrText xml:space="preserve"> REF _Ref96686249 \r \h  \* MERGEFORMAT </w:instrText>
      </w:r>
      <w:r w:rsidRPr="009F6F8E">
        <w:rPr>
          <w:b/>
          <w:bCs/>
          <w:color w:val="007AAE"/>
        </w:rPr>
      </w:r>
      <w:r w:rsidRPr="009F6F8E">
        <w:rPr>
          <w:b/>
          <w:bCs/>
          <w:color w:val="007AAE"/>
        </w:rPr>
        <w:fldChar w:fldCharType="separate"/>
      </w:r>
      <w:r>
        <w:rPr>
          <w:b/>
          <w:bCs/>
          <w:color w:val="007AAE"/>
        </w:rPr>
        <w:t>[8]</w:t>
      </w:r>
      <w:r w:rsidRPr="009F6F8E">
        <w:rPr>
          <w:b/>
          <w:bCs/>
          <w:color w:val="007AAE"/>
        </w:rPr>
        <w:fldChar w:fldCharType="end"/>
      </w:r>
      <w:r>
        <w:t>:</w:t>
      </w:r>
    </w:p>
    <w:p w14:paraId="425E27CA" w14:textId="16134AAC" w:rsidR="00746E8D" w:rsidRPr="00F934E4" w:rsidRDefault="00746E8D" w:rsidP="00F668C6">
      <w:pPr>
        <w:pStyle w:val="ListParagraph"/>
        <w:numPr>
          <w:ilvl w:val="0"/>
          <w:numId w:val="6"/>
        </w:numPr>
        <w:spacing w:before="60" w:line="276" w:lineRule="auto"/>
        <w:ind w:left="1491" w:hanging="357"/>
        <w:contextualSpacing w:val="0"/>
        <w:jc w:val="both"/>
        <w:rPr>
          <w:rFonts w:asciiTheme="minorHAnsi" w:hAnsiTheme="minorHAnsi" w:cstheme="minorHAnsi"/>
          <w:lang w:val="en-GB"/>
        </w:rPr>
      </w:pPr>
      <w:r w:rsidRPr="00F934E4">
        <w:rPr>
          <w:rFonts w:asciiTheme="minorHAnsi" w:hAnsiTheme="minorHAnsi" w:cstheme="minorHAnsi"/>
          <w:lang w:val="en-GB"/>
        </w:rPr>
        <w:lastRenderedPageBreak/>
        <w:t>Current scenario (2021-2022): Up to 2 vol</w:t>
      </w:r>
      <w:r w:rsidR="00B62647">
        <w:rPr>
          <w:rFonts w:asciiTheme="minorHAnsi" w:hAnsiTheme="minorHAnsi" w:cstheme="minorHAnsi"/>
          <w:lang w:val="en-GB"/>
        </w:rPr>
        <w:t xml:space="preserve"> </w:t>
      </w:r>
      <w:r w:rsidRPr="00F934E4">
        <w:rPr>
          <w:rFonts w:asciiTheme="minorHAnsi" w:hAnsiTheme="minorHAnsi" w:cstheme="minorHAnsi"/>
          <w:lang w:val="en-GB"/>
        </w:rPr>
        <w:t>% H</w:t>
      </w:r>
      <w:r w:rsidRPr="00F934E4">
        <w:rPr>
          <w:rFonts w:asciiTheme="minorHAnsi" w:hAnsiTheme="minorHAnsi" w:cstheme="minorHAnsi"/>
          <w:vertAlign w:val="subscript"/>
          <w:lang w:val="en-GB"/>
        </w:rPr>
        <w:t>2</w:t>
      </w:r>
      <w:r w:rsidRPr="00F934E4">
        <w:rPr>
          <w:rFonts w:asciiTheme="minorHAnsi" w:hAnsiTheme="minorHAnsi" w:cstheme="minorHAnsi"/>
          <w:lang w:val="en-GB"/>
        </w:rPr>
        <w:t xml:space="preserve"> can generally be technically handled. This percentage can be higher in many sectors, except those using very sensitive processes (like acetylene production) and CNG stations. Depending on the sector and natural gas base composition, this percentage can increase, up to 5 vol</w:t>
      </w:r>
      <w:r w:rsidR="00B62647">
        <w:rPr>
          <w:rFonts w:asciiTheme="minorHAnsi" w:hAnsiTheme="minorHAnsi" w:cstheme="minorHAnsi"/>
          <w:lang w:val="en-GB"/>
        </w:rPr>
        <w:t xml:space="preserve"> </w:t>
      </w:r>
      <w:r w:rsidRPr="00F934E4">
        <w:rPr>
          <w:rFonts w:asciiTheme="minorHAnsi" w:hAnsiTheme="minorHAnsi" w:cstheme="minorHAnsi"/>
          <w:lang w:val="en-GB"/>
        </w:rPr>
        <w:t>% H</w:t>
      </w:r>
      <w:r w:rsidRPr="00F934E4">
        <w:rPr>
          <w:rFonts w:asciiTheme="minorHAnsi" w:hAnsiTheme="minorHAnsi" w:cstheme="minorHAnsi"/>
          <w:vertAlign w:val="subscript"/>
          <w:lang w:val="en-GB"/>
        </w:rPr>
        <w:t>2</w:t>
      </w:r>
      <w:r w:rsidRPr="00F934E4">
        <w:rPr>
          <w:rFonts w:asciiTheme="minorHAnsi" w:hAnsiTheme="minorHAnsi" w:cstheme="minorHAnsi"/>
          <w:lang w:val="en-GB"/>
        </w:rPr>
        <w:t>, for power plants. The domestic sector can already handle 10-20 vol</w:t>
      </w:r>
      <w:r w:rsidR="00B62647">
        <w:rPr>
          <w:rFonts w:asciiTheme="minorHAnsi" w:hAnsiTheme="minorHAnsi" w:cstheme="minorHAnsi"/>
          <w:lang w:val="en-GB"/>
        </w:rPr>
        <w:t xml:space="preserve"> </w:t>
      </w:r>
      <w:r w:rsidRPr="00F934E4">
        <w:rPr>
          <w:rFonts w:asciiTheme="minorHAnsi" w:hAnsiTheme="minorHAnsi" w:cstheme="minorHAnsi"/>
          <w:lang w:val="en-GB"/>
        </w:rPr>
        <w:t>% H</w:t>
      </w:r>
      <w:r w:rsidRPr="00F934E4">
        <w:rPr>
          <w:rFonts w:asciiTheme="minorHAnsi" w:hAnsiTheme="minorHAnsi" w:cstheme="minorHAnsi"/>
          <w:vertAlign w:val="subscript"/>
          <w:lang w:val="en-GB"/>
        </w:rPr>
        <w:t>2</w:t>
      </w:r>
      <w:r w:rsidRPr="00F934E4">
        <w:rPr>
          <w:rFonts w:asciiTheme="minorHAnsi" w:hAnsiTheme="minorHAnsi" w:cstheme="minorHAnsi"/>
          <w:lang w:val="en-GB"/>
        </w:rPr>
        <w:t xml:space="preserve"> without further investments.</w:t>
      </w:r>
    </w:p>
    <w:p w14:paraId="312949A0" w14:textId="20494DC2" w:rsidR="00746E8D" w:rsidRPr="00F934E4" w:rsidRDefault="00746E8D" w:rsidP="00F668C6">
      <w:pPr>
        <w:pStyle w:val="ListParagraph"/>
        <w:numPr>
          <w:ilvl w:val="0"/>
          <w:numId w:val="6"/>
        </w:numPr>
        <w:spacing w:before="60" w:line="276" w:lineRule="auto"/>
        <w:ind w:left="1491" w:hanging="357"/>
        <w:contextualSpacing w:val="0"/>
        <w:jc w:val="both"/>
        <w:rPr>
          <w:rFonts w:asciiTheme="minorHAnsi" w:hAnsiTheme="minorHAnsi" w:cstheme="minorHAnsi"/>
          <w:lang w:val="en-GB"/>
        </w:rPr>
      </w:pPr>
      <w:r w:rsidRPr="00F934E4">
        <w:rPr>
          <w:rFonts w:asciiTheme="minorHAnsi" w:hAnsiTheme="minorHAnsi" w:cstheme="minorHAnsi"/>
          <w:lang w:val="en-GB"/>
        </w:rPr>
        <w:t>Short/mid-term scenario (2025-2030): Developments are expected to allow current industrial stock, except feedstock usage, to handle higher H</w:t>
      </w:r>
      <w:r w:rsidRPr="00F934E4">
        <w:rPr>
          <w:rFonts w:asciiTheme="minorHAnsi" w:hAnsiTheme="minorHAnsi" w:cstheme="minorHAnsi"/>
          <w:vertAlign w:val="subscript"/>
          <w:lang w:val="en-GB"/>
        </w:rPr>
        <w:t>2</w:t>
      </w:r>
      <w:r w:rsidRPr="00F934E4">
        <w:rPr>
          <w:rFonts w:asciiTheme="minorHAnsi" w:hAnsiTheme="minorHAnsi" w:cstheme="minorHAnsi"/>
          <w:lang w:val="en-GB"/>
        </w:rPr>
        <w:t xml:space="preserve"> percentages. Yet, the fluctuation of the hydrogen percentage in natural gas will still be a concern for the industry. In those cases, deblending could be used for dedicated hydrogen transport to industrial users. Minor retrofitting will allow the current industrial stock to handle higher H</w:t>
      </w:r>
      <w:r w:rsidRPr="00F934E4">
        <w:rPr>
          <w:rFonts w:asciiTheme="minorHAnsi" w:hAnsiTheme="minorHAnsi" w:cstheme="minorHAnsi"/>
          <w:vertAlign w:val="subscript"/>
          <w:lang w:val="en-GB"/>
        </w:rPr>
        <w:t>2</w:t>
      </w:r>
      <w:r w:rsidRPr="00F934E4">
        <w:rPr>
          <w:rFonts w:asciiTheme="minorHAnsi" w:hAnsiTheme="minorHAnsi" w:cstheme="minorHAnsi"/>
          <w:lang w:val="en-GB"/>
        </w:rPr>
        <w:t xml:space="preserve"> percentages (20-30 vol% by turbines and engines). Hydrogen blending up to 10 vol</w:t>
      </w:r>
      <w:r w:rsidR="00D7694C">
        <w:rPr>
          <w:rFonts w:asciiTheme="minorHAnsi" w:hAnsiTheme="minorHAnsi" w:cstheme="minorHAnsi"/>
          <w:lang w:val="en-GB"/>
        </w:rPr>
        <w:t xml:space="preserve"> </w:t>
      </w:r>
      <w:r w:rsidRPr="00F934E4">
        <w:rPr>
          <w:rFonts w:asciiTheme="minorHAnsi" w:hAnsiTheme="minorHAnsi" w:cstheme="minorHAnsi"/>
          <w:lang w:val="en-GB"/>
        </w:rPr>
        <w:t>% is expected in this scenario.</w:t>
      </w:r>
    </w:p>
    <w:p w14:paraId="17FA3F6B" w14:textId="1821DB62" w:rsidR="00746E8D" w:rsidRPr="00F934E4" w:rsidRDefault="00746E8D" w:rsidP="00F668C6">
      <w:pPr>
        <w:pStyle w:val="ListParagraph"/>
        <w:numPr>
          <w:ilvl w:val="0"/>
          <w:numId w:val="6"/>
        </w:numPr>
        <w:spacing w:before="60" w:line="276" w:lineRule="auto"/>
        <w:ind w:left="1491" w:hanging="357"/>
        <w:contextualSpacing w:val="0"/>
        <w:jc w:val="both"/>
        <w:rPr>
          <w:rFonts w:asciiTheme="minorHAnsi" w:hAnsiTheme="minorHAnsi" w:cstheme="minorHAnsi"/>
          <w:lang w:val="en-GB"/>
        </w:rPr>
      </w:pPr>
      <w:r w:rsidRPr="00F934E4">
        <w:rPr>
          <w:rFonts w:asciiTheme="minorHAnsi" w:hAnsiTheme="minorHAnsi" w:cstheme="minorHAnsi"/>
          <w:lang w:val="en-GB"/>
        </w:rPr>
        <w:t>Mid-term scenario (2030-2040): In some instances, a turning point from which the increased H</w:t>
      </w:r>
      <w:r w:rsidRPr="00F934E4">
        <w:rPr>
          <w:rFonts w:asciiTheme="minorHAnsi" w:hAnsiTheme="minorHAnsi" w:cstheme="minorHAnsi"/>
          <w:vertAlign w:val="subscript"/>
          <w:lang w:val="en-GB"/>
        </w:rPr>
        <w:t>2</w:t>
      </w:r>
      <w:r w:rsidRPr="00F934E4">
        <w:rPr>
          <w:rFonts w:asciiTheme="minorHAnsi" w:hAnsiTheme="minorHAnsi" w:cstheme="minorHAnsi"/>
          <w:lang w:val="en-GB"/>
        </w:rPr>
        <w:t xml:space="preserve"> concentrations in the system might not be feasible technically or economically will be defined. Once that turning point is reached in these regions, a complete transition to hydrogen may be more cost-efficient than increasing the concentration of hydrogen in mixtures with natural gas. In other areas, a timely construction of a H</w:t>
      </w:r>
      <w:r w:rsidRPr="00F934E4">
        <w:rPr>
          <w:rFonts w:asciiTheme="minorHAnsi" w:hAnsiTheme="minorHAnsi" w:cstheme="minorHAnsi"/>
          <w:vertAlign w:val="subscript"/>
          <w:lang w:val="en-GB"/>
        </w:rPr>
        <w:t>2</w:t>
      </w:r>
      <w:r w:rsidRPr="00F934E4">
        <w:rPr>
          <w:rFonts w:asciiTheme="minorHAnsi" w:hAnsiTheme="minorHAnsi" w:cstheme="minorHAnsi"/>
          <w:lang w:val="en-GB"/>
        </w:rPr>
        <w:t xml:space="preserve"> backbone will be the highest priority and heavily rely on the repurposing of existing natural gas pipelines. Nevertheless, there is no single solution for the entire European gas sector due to the specificities of different regions and different policies. In this regard, different pathways will likely </w:t>
      </w:r>
      <w:proofErr w:type="gramStart"/>
      <w:r w:rsidRPr="00F934E4">
        <w:rPr>
          <w:rFonts w:asciiTheme="minorHAnsi" w:hAnsiTheme="minorHAnsi" w:cstheme="minorHAnsi"/>
          <w:lang w:val="en-GB"/>
        </w:rPr>
        <w:t>coexist:</w:t>
      </w:r>
      <w:proofErr w:type="gramEnd"/>
      <w:r w:rsidRPr="00F934E4">
        <w:rPr>
          <w:rFonts w:asciiTheme="minorHAnsi" w:hAnsiTheme="minorHAnsi" w:cstheme="minorHAnsi"/>
          <w:lang w:val="en-GB"/>
        </w:rPr>
        <w:t xml:space="preserve"> methane backbone (using natural gas, biomethane or synthetic natural gas), hydrogen blending, and the European Hydrogen Backbone's embryonic development at TSO and DSO levels. Depending on national and regional conditions and customers’ needs, requirements, and grid topology, hydrogen blending up to 20 vol</w:t>
      </w:r>
      <w:r w:rsidR="00D7694C">
        <w:rPr>
          <w:rFonts w:asciiTheme="minorHAnsi" w:hAnsiTheme="minorHAnsi" w:cstheme="minorHAnsi"/>
          <w:lang w:val="en-GB"/>
        </w:rPr>
        <w:t xml:space="preserve"> </w:t>
      </w:r>
      <w:r w:rsidRPr="00F934E4">
        <w:rPr>
          <w:rFonts w:asciiTheme="minorHAnsi" w:hAnsiTheme="minorHAnsi" w:cstheme="minorHAnsi"/>
          <w:lang w:val="en-GB"/>
        </w:rPr>
        <w:t>% is expected to be present in some regions for consumption or as a buffer to inject hydrogen surplus.</w:t>
      </w:r>
    </w:p>
    <w:p w14:paraId="765F9980" w14:textId="77777777" w:rsidR="00746E8D" w:rsidRPr="00F934E4" w:rsidRDefault="00746E8D" w:rsidP="00F668C6">
      <w:pPr>
        <w:pStyle w:val="ListParagraph"/>
        <w:numPr>
          <w:ilvl w:val="0"/>
          <w:numId w:val="6"/>
        </w:numPr>
        <w:spacing w:before="60" w:line="276" w:lineRule="auto"/>
        <w:ind w:left="1491" w:hanging="357"/>
        <w:contextualSpacing w:val="0"/>
        <w:jc w:val="both"/>
        <w:rPr>
          <w:rFonts w:asciiTheme="minorHAnsi" w:hAnsiTheme="minorHAnsi" w:cstheme="minorHAnsi"/>
          <w:lang w:val="en-GB"/>
        </w:rPr>
      </w:pPr>
      <w:r w:rsidRPr="00F934E4">
        <w:rPr>
          <w:rFonts w:asciiTheme="minorHAnsi" w:hAnsiTheme="minorHAnsi" w:cstheme="minorHAnsi"/>
          <w:lang w:val="en-GB"/>
        </w:rPr>
        <w:t>Hydrogen Backbone scenario: Further into the future, hydrogen demand is expected to increase at all levels, and most sectors will likely retrofit to dedicated H</w:t>
      </w:r>
      <w:r w:rsidRPr="00F934E4">
        <w:rPr>
          <w:rFonts w:asciiTheme="minorHAnsi" w:hAnsiTheme="minorHAnsi" w:cstheme="minorHAnsi"/>
          <w:vertAlign w:val="subscript"/>
          <w:lang w:val="en-GB"/>
        </w:rPr>
        <w:t>2</w:t>
      </w:r>
      <w:r w:rsidRPr="00F934E4">
        <w:rPr>
          <w:rFonts w:asciiTheme="minorHAnsi" w:hAnsiTheme="minorHAnsi" w:cstheme="minorHAnsi"/>
          <w:lang w:val="en-GB"/>
        </w:rPr>
        <w:t xml:space="preserve"> systems. Therefore, the full deployment of dedicated H</w:t>
      </w:r>
      <w:r w:rsidRPr="00F934E4">
        <w:rPr>
          <w:rFonts w:asciiTheme="minorHAnsi" w:hAnsiTheme="minorHAnsi" w:cstheme="minorHAnsi"/>
          <w:vertAlign w:val="subscript"/>
          <w:lang w:val="en-GB"/>
        </w:rPr>
        <w:t>2</w:t>
      </w:r>
      <w:r w:rsidRPr="00F934E4">
        <w:rPr>
          <w:rFonts w:asciiTheme="minorHAnsi" w:hAnsiTheme="minorHAnsi" w:cstheme="minorHAnsi"/>
          <w:lang w:val="en-GB"/>
        </w:rPr>
        <w:t xml:space="preserve"> grids at TSO and DSO levels is expected to be taking place. Yet, that may not be possible for some specific industrial processes. Therefore, to continue supplying consumers who are primarily dependent on methane to produce chemicals, there will also be methane networks in the future at the transmission and distribution network level. This methane network could include biogas/biomethane and synthetic natural gas (SNG), depending on the national and regional developments. The repurposing of natural gas pipelines into dedicated hydrogen networks is already materialising and in some Member States, repurposed H</w:t>
      </w:r>
      <w:r w:rsidRPr="00F934E4">
        <w:rPr>
          <w:rFonts w:asciiTheme="minorHAnsi" w:hAnsiTheme="minorHAnsi" w:cstheme="minorHAnsi"/>
          <w:vertAlign w:val="subscript"/>
          <w:lang w:val="en-GB"/>
        </w:rPr>
        <w:t>2</w:t>
      </w:r>
      <w:r w:rsidRPr="00F934E4">
        <w:rPr>
          <w:rFonts w:asciiTheme="minorHAnsi" w:hAnsiTheme="minorHAnsi" w:cstheme="minorHAnsi"/>
          <w:lang w:val="en-GB"/>
        </w:rPr>
        <w:t xml:space="preserve"> backbones can be a reality in just a few years.</w:t>
      </w:r>
    </w:p>
    <w:p w14:paraId="665C51C1" w14:textId="2B6AC003" w:rsidR="00746E8D" w:rsidRPr="00F934E4" w:rsidRDefault="00746E8D" w:rsidP="00F668C6">
      <w:pPr>
        <w:jc w:val="both"/>
        <w:rPr>
          <w:rFonts w:cstheme="minorHAnsi"/>
          <w:b/>
          <w:bCs/>
        </w:rPr>
      </w:pPr>
    </w:p>
    <w:p w14:paraId="3955073C" w14:textId="269176F4" w:rsidR="00746E8D" w:rsidRDefault="004C7736" w:rsidP="004C7736">
      <w:pPr>
        <w:pStyle w:val="Heading3"/>
      </w:pPr>
      <w:bookmarkStart w:id="22" w:name="_Toc121830933"/>
      <w:r>
        <w:t xml:space="preserve">3.1.4 </w:t>
      </w:r>
      <w:r w:rsidR="00746E8D" w:rsidRPr="00746E8D">
        <w:t>HYDROGEN AND DECARBONISED GAS PACKAGE</w:t>
      </w:r>
      <w:bookmarkEnd w:id="22"/>
    </w:p>
    <w:p w14:paraId="10064C95" w14:textId="32851E33" w:rsidR="00746E8D" w:rsidRDefault="00746E8D" w:rsidP="00F668C6">
      <w:pPr>
        <w:spacing w:line="276" w:lineRule="auto"/>
        <w:jc w:val="both"/>
      </w:pPr>
      <w:r w:rsidRPr="00376030">
        <w:t>The review and revision of the Gas Directive 2009/73/EC and Gas Regulation (EC) No 715/2009 is referred to as the Hydrogen and gas markets decarbonisation package, published in December 2021. It enables the market to decarbonise gas consumption</w:t>
      </w:r>
      <w:r w:rsidRPr="00BE7F11">
        <w:t xml:space="preserve"> and puts forward policy measures required to support the creation of optimum and dedicated infrastructure and</w:t>
      </w:r>
      <w:r w:rsidRPr="00376030">
        <w:t xml:space="preserve"> efficient markets. It will remove barriers to decarbonisation and create the conditions for a more </w:t>
      </w:r>
      <w:r>
        <w:t>cost-effective</w:t>
      </w:r>
      <w:r w:rsidRPr="00376030">
        <w:t xml:space="preserve"> transition.</w:t>
      </w:r>
      <w:r>
        <w:t xml:space="preserve"> </w:t>
      </w:r>
      <w:r w:rsidRPr="00376030">
        <w:t>The package aims to facilitate the integration of renewable and low</w:t>
      </w:r>
      <w:r>
        <w:t xml:space="preserve"> </w:t>
      </w:r>
      <w:r w:rsidRPr="00376030">
        <w:t>carbon gases into the existing gas network.</w:t>
      </w:r>
    </w:p>
    <w:p w14:paraId="5CB4A973" w14:textId="77777777" w:rsidR="00746E8D" w:rsidRDefault="00746E8D" w:rsidP="00F668C6">
      <w:pPr>
        <w:spacing w:line="276" w:lineRule="auto"/>
        <w:jc w:val="both"/>
      </w:pPr>
      <w:r w:rsidRPr="00376030">
        <w:t xml:space="preserve">The package proposes rules on the operation and financing of hydrogen networks, </w:t>
      </w:r>
      <w:r w:rsidRPr="00BE7F11">
        <w:t xml:space="preserve">the transparency of gas quality parameters and hydrogen blends, the repurposing of natural gas networks for hydrogen transport, and </w:t>
      </w:r>
      <w:r w:rsidRPr="00376030">
        <w:t>unbundling and non-discriminatory network access</w:t>
      </w:r>
      <w:r>
        <w:t xml:space="preserve">, </w:t>
      </w:r>
      <w:r w:rsidRPr="00376030">
        <w:t>creat</w:t>
      </w:r>
      <w:r>
        <w:t>ing</w:t>
      </w:r>
      <w:r w:rsidRPr="00376030">
        <w:t xml:space="preserve"> the right environment to invest in hydrogen infrastructure and develop a competitive hydrogen market. </w:t>
      </w:r>
      <w:r w:rsidRPr="00BE7F11">
        <w:t>A European Network of Network Operators for Hydrogen will be established to ensure optimal development and management of the EU hydrogen network and facilitate trading and supplying hydrogen across borders</w:t>
      </w:r>
      <w:r w:rsidRPr="00376030">
        <w:t>.</w:t>
      </w:r>
    </w:p>
    <w:p w14:paraId="2D8BB40C" w14:textId="77777777" w:rsidR="00746E8D" w:rsidRDefault="00746E8D" w:rsidP="00F668C6">
      <w:pPr>
        <w:spacing w:line="276" w:lineRule="auto"/>
        <w:jc w:val="both"/>
      </w:pPr>
      <w:r w:rsidRPr="004E67F7">
        <w:lastRenderedPageBreak/>
        <w:t xml:space="preserve">Gas Package provides a new notion of </w:t>
      </w:r>
      <w:r>
        <w:t>‘</w:t>
      </w:r>
      <w:r w:rsidRPr="004E67F7">
        <w:t>Hydrogen Network Operator</w:t>
      </w:r>
      <w:r>
        <w:t>’</w:t>
      </w:r>
      <w:r w:rsidRPr="004E67F7">
        <w:t xml:space="preserve"> (HNO)</w:t>
      </w:r>
      <w:r>
        <w:t xml:space="preserve">, which </w:t>
      </w:r>
      <w:r w:rsidRPr="004E67F7">
        <w:t>would apply to all transport operators on hydrogen networks, without distinction between the transmission or distribution levels</w:t>
      </w:r>
      <w:r>
        <w:t>, as this</w:t>
      </w:r>
      <w:r w:rsidRPr="004E67F7">
        <w:t xml:space="preserve"> distinction would not exist</w:t>
      </w:r>
      <w:r>
        <w:t xml:space="preserve"> i</w:t>
      </w:r>
      <w:r w:rsidRPr="004E67F7">
        <w:t>n the hydrogen network.</w:t>
      </w:r>
    </w:p>
    <w:p w14:paraId="4B82DC06" w14:textId="75ED644B" w:rsidR="00746E8D" w:rsidRDefault="00746E8D" w:rsidP="00F668C6">
      <w:pPr>
        <w:spacing w:line="276" w:lineRule="auto"/>
        <w:jc w:val="both"/>
      </w:pPr>
      <w:r>
        <w:t xml:space="preserve">The </w:t>
      </w:r>
      <w:r w:rsidRPr="00376030">
        <w:t>Proposal for a</w:t>
      </w:r>
      <w:r>
        <w:t xml:space="preserve"> </w:t>
      </w:r>
      <w:r w:rsidRPr="00376030">
        <w:t>R</w:t>
      </w:r>
      <w:r>
        <w:t xml:space="preserve">egulation of the European Parliament and the Council </w:t>
      </w:r>
      <w:r w:rsidRPr="00376030">
        <w:t>on the internal markets for renewable and natural gases and for hydrogen</w:t>
      </w:r>
      <w:r>
        <w:t xml:space="preserve"> </w:t>
      </w:r>
      <w:r w:rsidRPr="002B413B">
        <w:rPr>
          <w:b/>
          <w:bCs/>
          <w:color w:val="007AAE"/>
        </w:rPr>
        <w:fldChar w:fldCharType="begin"/>
      </w:r>
      <w:r w:rsidRPr="002B413B">
        <w:rPr>
          <w:b/>
          <w:bCs/>
          <w:color w:val="007AAE"/>
        </w:rPr>
        <w:instrText xml:space="preserve"> REF _Ref96613768 \r \h  \* MERGEFORMAT </w:instrText>
      </w:r>
      <w:r w:rsidRPr="002B413B">
        <w:rPr>
          <w:b/>
          <w:bCs/>
          <w:color w:val="007AAE"/>
        </w:rPr>
      </w:r>
      <w:r w:rsidRPr="002B413B">
        <w:rPr>
          <w:b/>
          <w:bCs/>
          <w:color w:val="007AAE"/>
        </w:rPr>
        <w:fldChar w:fldCharType="separate"/>
      </w:r>
      <w:r>
        <w:rPr>
          <w:b/>
          <w:bCs/>
          <w:color w:val="007AAE"/>
        </w:rPr>
        <w:t>[10]</w:t>
      </w:r>
      <w:r w:rsidRPr="002B413B">
        <w:rPr>
          <w:b/>
          <w:bCs/>
          <w:color w:val="007AAE"/>
        </w:rPr>
        <w:fldChar w:fldCharType="end"/>
      </w:r>
      <w:r w:rsidRPr="00C12F25">
        <w:t xml:space="preserve"> </w:t>
      </w:r>
      <w:r>
        <w:t>indicates in Article 20 that ‘</w:t>
      </w:r>
      <w:r w:rsidRPr="00C12F25">
        <w:t>Transmission system operators shall accept gas flows with a hydrogen content of up to 5</w:t>
      </w:r>
      <w:r w:rsidR="00E96D72">
        <w:t xml:space="preserve"> </w:t>
      </w:r>
      <w:r w:rsidRPr="00C12F25">
        <w:t xml:space="preserve">% by volume at interconnection points between </w:t>
      </w:r>
      <w:r>
        <w:t>EU</w:t>
      </w:r>
      <w:r w:rsidRPr="00C12F25">
        <w:t xml:space="preserve"> Member States in the natural gas system from 1 October 2025, subject to the procedure described in Article 19 of this Regulation</w:t>
      </w:r>
      <w:r>
        <w:t>’</w:t>
      </w:r>
      <w:r w:rsidRPr="00C12F25">
        <w:t>.</w:t>
      </w:r>
      <w:r>
        <w:t xml:space="preserve"> </w:t>
      </w:r>
      <w:r w:rsidRPr="00C12F25">
        <w:t>Th</w:t>
      </w:r>
      <w:r>
        <w:t>is</w:t>
      </w:r>
      <w:r w:rsidRPr="00C12F25">
        <w:t xml:space="preserve"> allowed cap for hydrogen blends is set for all cross-border points</w:t>
      </w:r>
      <w:r>
        <w:t>,</w:t>
      </w:r>
      <w:r w:rsidRPr="00C12F25">
        <w:t xml:space="preserve"> a </w:t>
      </w:r>
      <w:r>
        <w:t>cost-efficient level</w:t>
      </w:r>
      <w:r w:rsidRPr="00C12F25">
        <w:t xml:space="preserve"> in terms of adaptation and abatement costs.</w:t>
      </w:r>
    </w:p>
    <w:p w14:paraId="040C04C3" w14:textId="58C905E2" w:rsidR="00746E8D" w:rsidRDefault="004C7736" w:rsidP="004C7736">
      <w:pPr>
        <w:pStyle w:val="Heading3"/>
      </w:pPr>
      <w:bookmarkStart w:id="23" w:name="_Toc121830934"/>
      <w:r>
        <w:t xml:space="preserve">3.1.5 </w:t>
      </w:r>
      <w:r w:rsidR="00ED28DC" w:rsidRPr="00ED28DC">
        <w:t>PURE HYDROGEN INFRASTRUCTURE</w:t>
      </w:r>
      <w:bookmarkEnd w:id="23"/>
    </w:p>
    <w:p w14:paraId="7ADBB29F" w14:textId="77777777" w:rsidR="00ED28DC" w:rsidRPr="00DF129A" w:rsidRDefault="00ED28DC" w:rsidP="00F668C6">
      <w:pPr>
        <w:spacing w:line="276" w:lineRule="auto"/>
        <w:jc w:val="both"/>
      </w:pPr>
      <w:r w:rsidRPr="00DF129A">
        <w:t>For hydrogen to access the various end</w:t>
      </w:r>
      <w:r>
        <w:t xml:space="preserve"> </w:t>
      </w:r>
      <w:r w:rsidRPr="00DF129A">
        <w:t>uses</w:t>
      </w:r>
      <w:r>
        <w:t xml:space="preserve"> </w:t>
      </w:r>
      <w:r w:rsidRPr="00DF129A">
        <w:t>across Europe, basic infrastructure will have to be</w:t>
      </w:r>
      <w:r>
        <w:t xml:space="preserve"> </w:t>
      </w:r>
      <w:r w:rsidRPr="00DF129A">
        <w:t>developed between production and consumption</w:t>
      </w:r>
      <w:r>
        <w:t xml:space="preserve"> </w:t>
      </w:r>
      <w:r w:rsidRPr="00DF129A">
        <w:t xml:space="preserve">points. </w:t>
      </w:r>
      <w:r>
        <w:t>T</w:t>
      </w:r>
      <w:r w:rsidRPr="00DF129A">
        <w:t>h</w:t>
      </w:r>
      <w:r>
        <w:t>ousands of tons of hydrogen are already</w:t>
      </w:r>
      <w:r w:rsidRPr="00DF129A">
        <w:t xml:space="preserve"> traded and distributed around Europe</w:t>
      </w:r>
      <w:r>
        <w:t xml:space="preserve"> </w:t>
      </w:r>
      <w:r w:rsidRPr="00DF129A">
        <w:t>today via local dedicated hydrogen pipelines or</w:t>
      </w:r>
      <w:r>
        <w:t xml:space="preserve"> </w:t>
      </w:r>
      <w:r w:rsidRPr="00DF129A">
        <w:t>trucks</w:t>
      </w:r>
      <w:r>
        <w:t>. However</w:t>
      </w:r>
      <w:r w:rsidRPr="00DF129A">
        <w:t xml:space="preserve">, </w:t>
      </w:r>
      <w:r>
        <w:t>developing an EU-wide hydrogen pipeline network is required to further deploy the hydrogen economy, as this is</w:t>
      </w:r>
      <w:r w:rsidRPr="00DF129A">
        <w:t xml:space="preserve"> the cheapest mode of transport for</w:t>
      </w:r>
      <w:r>
        <w:t xml:space="preserve"> </w:t>
      </w:r>
      <w:r w:rsidRPr="00DF129A">
        <w:t>large quantities of gas. The hydrogen economy</w:t>
      </w:r>
      <w:r>
        <w:t xml:space="preserve"> </w:t>
      </w:r>
      <w:r w:rsidRPr="00DF129A">
        <w:t xml:space="preserve">will require </w:t>
      </w:r>
      <w:r>
        <w:t xml:space="preserve">a </w:t>
      </w:r>
      <w:r w:rsidRPr="00DF129A">
        <w:t>similar transmission and distribution</w:t>
      </w:r>
      <w:r>
        <w:t xml:space="preserve"> </w:t>
      </w:r>
      <w:r w:rsidRPr="00DF129A">
        <w:t>ecosystem to the current natural gas infrastructure,</w:t>
      </w:r>
      <w:r>
        <w:t xml:space="preserve"> </w:t>
      </w:r>
      <w:r w:rsidRPr="00DF129A">
        <w:t>complemented by trucks and ships. While blending</w:t>
      </w:r>
      <w:r>
        <w:t xml:space="preserve"> </w:t>
      </w:r>
      <w:r w:rsidRPr="00DF129A">
        <w:t>hydrogen gas into the existing natural gas pipelines</w:t>
      </w:r>
      <w:r>
        <w:t xml:space="preserve"> </w:t>
      </w:r>
      <w:r w:rsidRPr="00DF129A">
        <w:t>will be important in the early 2020s, retrofitting existing</w:t>
      </w:r>
      <w:r>
        <w:t xml:space="preserve"> </w:t>
      </w:r>
      <w:r w:rsidRPr="00DF129A">
        <w:t>gas infrastructure to carry pure hydrogen will</w:t>
      </w:r>
      <w:r>
        <w:t xml:space="preserve"> </w:t>
      </w:r>
      <w:r w:rsidRPr="00DF129A">
        <w:t>be necessary. That infrastructure does not currently</w:t>
      </w:r>
      <w:r>
        <w:t xml:space="preserve"> </w:t>
      </w:r>
      <w:r w:rsidRPr="00DF129A">
        <w:t xml:space="preserve">exist </w:t>
      </w:r>
      <w:r>
        <w:t>besides</w:t>
      </w:r>
      <w:r w:rsidRPr="00DF129A">
        <w:t xml:space="preserve"> dedicated pipelines in a limited number</w:t>
      </w:r>
      <w:r>
        <w:t xml:space="preserve"> </w:t>
      </w:r>
      <w:r w:rsidRPr="00DF129A">
        <w:t>of industrial areas.</w:t>
      </w:r>
    </w:p>
    <w:p w14:paraId="67628C2A" w14:textId="77777777" w:rsidR="00ED28DC" w:rsidRPr="00DF129A" w:rsidRDefault="00ED28DC" w:rsidP="00F668C6">
      <w:pPr>
        <w:spacing w:line="276" w:lineRule="auto"/>
        <w:jc w:val="both"/>
      </w:pPr>
      <w:r w:rsidRPr="00DF129A">
        <w:t>There have been several infrastructure initiatives</w:t>
      </w:r>
      <w:r>
        <w:t xml:space="preserve">, </w:t>
      </w:r>
      <w:r w:rsidRPr="00DF129A">
        <w:t>including the European Hydrogen Backbone by</w:t>
      </w:r>
      <w:r>
        <w:t xml:space="preserve"> </w:t>
      </w:r>
      <w:r w:rsidRPr="00DF129A">
        <w:t xml:space="preserve">a group of EU Gas TSOs </w:t>
      </w:r>
      <w:r w:rsidRPr="009F6F8E">
        <w:rPr>
          <w:b/>
          <w:bCs/>
          <w:color w:val="007AAE"/>
        </w:rPr>
        <w:fldChar w:fldCharType="begin"/>
      </w:r>
      <w:r w:rsidRPr="009F6F8E">
        <w:rPr>
          <w:b/>
          <w:bCs/>
          <w:color w:val="007AAE"/>
        </w:rPr>
        <w:instrText xml:space="preserve"> REF _Ref96687030 \r \h  \* MERGEFORMAT </w:instrText>
      </w:r>
      <w:r w:rsidRPr="009F6F8E">
        <w:rPr>
          <w:b/>
          <w:bCs/>
          <w:color w:val="007AAE"/>
        </w:rPr>
      </w:r>
      <w:r w:rsidRPr="009F6F8E">
        <w:rPr>
          <w:b/>
          <w:bCs/>
          <w:color w:val="007AAE"/>
        </w:rPr>
        <w:fldChar w:fldCharType="separate"/>
      </w:r>
      <w:r>
        <w:rPr>
          <w:b/>
          <w:bCs/>
          <w:color w:val="007AAE"/>
        </w:rPr>
        <w:t>[11]</w:t>
      </w:r>
      <w:r w:rsidRPr="009F6F8E">
        <w:rPr>
          <w:b/>
          <w:bCs/>
          <w:color w:val="007AAE"/>
        </w:rPr>
        <w:fldChar w:fldCharType="end"/>
      </w:r>
      <w:r>
        <w:t xml:space="preserve"> </w:t>
      </w:r>
      <w:r w:rsidRPr="009F6F8E">
        <w:rPr>
          <w:b/>
          <w:bCs/>
          <w:color w:val="007AAE"/>
        </w:rPr>
        <w:fldChar w:fldCharType="begin"/>
      </w:r>
      <w:r w:rsidRPr="009F6F8E">
        <w:rPr>
          <w:b/>
          <w:bCs/>
          <w:color w:val="007AAE"/>
        </w:rPr>
        <w:instrText xml:space="preserve"> REF _Ref96687032 \r \h  \* MERGEFORMAT </w:instrText>
      </w:r>
      <w:r w:rsidRPr="009F6F8E">
        <w:rPr>
          <w:b/>
          <w:bCs/>
          <w:color w:val="007AAE"/>
        </w:rPr>
      </w:r>
      <w:r w:rsidRPr="009F6F8E">
        <w:rPr>
          <w:b/>
          <w:bCs/>
          <w:color w:val="007AAE"/>
        </w:rPr>
        <w:fldChar w:fldCharType="separate"/>
      </w:r>
      <w:r>
        <w:rPr>
          <w:b/>
          <w:bCs/>
          <w:color w:val="007AAE"/>
        </w:rPr>
        <w:t>[12]</w:t>
      </w:r>
      <w:r w:rsidRPr="009F6F8E">
        <w:rPr>
          <w:b/>
          <w:bCs/>
          <w:color w:val="007AAE"/>
        </w:rPr>
        <w:fldChar w:fldCharType="end"/>
      </w:r>
      <w:r>
        <w:t xml:space="preserve">, </w:t>
      </w:r>
      <w:r w:rsidRPr="00DF129A">
        <w:t>and national initiatives</w:t>
      </w:r>
      <w:r>
        <w:t xml:space="preserve"> such as</w:t>
      </w:r>
      <w:r w:rsidRPr="00DF129A">
        <w:t xml:space="preserve"> Germany and the Netherlands. </w:t>
      </w:r>
      <w:r w:rsidRPr="008060FB">
        <w:t xml:space="preserve">These initiatives include retrofitting existing natural gas pipelines and partially building an entirely new hydrogen infrastructure to accommodate growing </w:t>
      </w:r>
      <w:r w:rsidRPr="00DF129A">
        <w:t>demand.</w:t>
      </w:r>
    </w:p>
    <w:p w14:paraId="2F15D604" w14:textId="77777777" w:rsidR="00ED28DC" w:rsidRPr="0088218C" w:rsidRDefault="00ED28DC" w:rsidP="00F668C6">
      <w:pPr>
        <w:spacing w:line="276" w:lineRule="auto"/>
        <w:jc w:val="both"/>
      </w:pPr>
      <w:r w:rsidRPr="0088218C">
        <w:t>The European Hydrogen Backbone (EHB) initiative is a group of European gas</w:t>
      </w:r>
      <w:r>
        <w:t xml:space="preserve"> </w:t>
      </w:r>
      <w:r w:rsidRPr="0088218C">
        <w:t>Transmission System Operators (TSOs) that has drafted a proposal for a dedicated</w:t>
      </w:r>
      <w:r>
        <w:t xml:space="preserve"> </w:t>
      </w:r>
      <w:r w:rsidRPr="0088218C">
        <w:t>hydrogen pipeline infrastructure, to a large extent based on repurposed natural gas</w:t>
      </w:r>
      <w:r>
        <w:t xml:space="preserve"> </w:t>
      </w:r>
      <w:r w:rsidRPr="0088218C">
        <w:t>pipelines. Since the</w:t>
      </w:r>
      <w:r>
        <w:t xml:space="preserve"> beginning</w:t>
      </w:r>
      <w:r w:rsidRPr="0088218C">
        <w:t>, the EHB initiative has grown to 23 European gas TSOs with gas</w:t>
      </w:r>
      <w:r>
        <w:t xml:space="preserve"> </w:t>
      </w:r>
      <w:r w:rsidRPr="0088218C">
        <w:t>networks covering 19 EU Member States plus the United Kingdom and Switzerland.</w:t>
      </w:r>
      <w:r>
        <w:t xml:space="preserve"> </w:t>
      </w:r>
      <w:r w:rsidRPr="0088218C">
        <w:t xml:space="preserve">This </w:t>
      </w:r>
      <w:r>
        <w:t>initiative</w:t>
      </w:r>
      <w:r w:rsidRPr="0088218C">
        <w:t xml:space="preserve"> contains a geographically extended vision for a dedicated hydrogen</w:t>
      </w:r>
      <w:r>
        <w:t xml:space="preserve"> </w:t>
      </w:r>
      <w:r w:rsidRPr="0088218C">
        <w:t>infrastructure stretching across these 21 European countries</w:t>
      </w:r>
      <w:r>
        <w:t>, projecting that</w:t>
      </w:r>
      <w:r w:rsidRPr="0088218C">
        <w:t>:</w:t>
      </w:r>
    </w:p>
    <w:p w14:paraId="73C02560" w14:textId="77777777" w:rsidR="00ED28DC" w:rsidRPr="00F934E4" w:rsidRDefault="00ED28DC" w:rsidP="00F668C6">
      <w:pPr>
        <w:pStyle w:val="ListParagraph"/>
        <w:numPr>
          <w:ilvl w:val="0"/>
          <w:numId w:val="7"/>
        </w:numPr>
        <w:autoSpaceDE w:val="0"/>
        <w:autoSpaceDN w:val="0"/>
        <w:adjustRightInd w:val="0"/>
        <w:spacing w:before="60" w:line="276" w:lineRule="auto"/>
        <w:ind w:left="1531" w:hanging="397"/>
        <w:contextualSpacing w:val="0"/>
        <w:jc w:val="both"/>
        <w:rPr>
          <w:rFonts w:asciiTheme="minorHAnsi" w:hAnsiTheme="minorHAnsi" w:cstheme="minorHAnsi"/>
          <w:lang w:val="en-GB" w:eastAsia="es-ES"/>
        </w:rPr>
      </w:pPr>
      <w:r w:rsidRPr="00F934E4">
        <w:rPr>
          <w:rFonts w:asciiTheme="minorHAnsi" w:hAnsiTheme="minorHAnsi" w:cstheme="minorHAnsi"/>
          <w:lang w:val="en-GB" w:eastAsia="es-ES"/>
        </w:rPr>
        <w:t>A network of 39,700 kilometres of pipes will connect 21 countries in 2040, with the forecast to continue growing in the following years.</w:t>
      </w:r>
    </w:p>
    <w:p w14:paraId="2D66D07B" w14:textId="77777777" w:rsidR="00ED28DC" w:rsidRPr="00F934E4" w:rsidRDefault="00ED28DC" w:rsidP="00F668C6">
      <w:pPr>
        <w:pStyle w:val="ListParagraph"/>
        <w:numPr>
          <w:ilvl w:val="0"/>
          <w:numId w:val="7"/>
        </w:numPr>
        <w:autoSpaceDE w:val="0"/>
        <w:autoSpaceDN w:val="0"/>
        <w:adjustRightInd w:val="0"/>
        <w:spacing w:before="60" w:line="276" w:lineRule="auto"/>
        <w:ind w:left="1531" w:hanging="397"/>
        <w:contextualSpacing w:val="0"/>
        <w:jc w:val="both"/>
        <w:rPr>
          <w:rFonts w:asciiTheme="minorHAnsi" w:hAnsiTheme="minorHAnsi" w:cstheme="minorHAnsi"/>
          <w:lang w:val="en-GB" w:eastAsia="es-ES"/>
        </w:rPr>
      </w:pPr>
      <w:r w:rsidRPr="00F934E4">
        <w:rPr>
          <w:rFonts w:asciiTheme="minorHAnsi" w:hAnsiTheme="minorHAnsi" w:cstheme="minorHAnsi"/>
          <w:lang w:val="en-GB" w:eastAsia="es-ES"/>
        </w:rPr>
        <w:t>Around 69 % of 39,700 kilometres would correspond to the adaptation of existing gas pipelines, and the remaining 31 % to newly built gas pipelines.</w:t>
      </w:r>
    </w:p>
    <w:p w14:paraId="5C58DB38" w14:textId="77777777" w:rsidR="00ED28DC" w:rsidRPr="00F934E4" w:rsidRDefault="00ED28DC" w:rsidP="00F668C6">
      <w:pPr>
        <w:pStyle w:val="ListParagraph"/>
        <w:numPr>
          <w:ilvl w:val="0"/>
          <w:numId w:val="7"/>
        </w:numPr>
        <w:autoSpaceDE w:val="0"/>
        <w:autoSpaceDN w:val="0"/>
        <w:adjustRightInd w:val="0"/>
        <w:spacing w:before="60" w:line="276" w:lineRule="auto"/>
        <w:ind w:left="1531" w:hanging="397"/>
        <w:contextualSpacing w:val="0"/>
        <w:jc w:val="both"/>
        <w:rPr>
          <w:rFonts w:asciiTheme="minorHAnsi" w:hAnsiTheme="minorHAnsi" w:cstheme="minorHAnsi"/>
          <w:lang w:val="en-GB" w:eastAsia="es-ES"/>
        </w:rPr>
      </w:pPr>
      <w:r w:rsidRPr="00F934E4">
        <w:rPr>
          <w:rFonts w:asciiTheme="minorHAnsi" w:hAnsiTheme="minorHAnsi" w:cstheme="minorHAnsi"/>
          <w:lang w:val="en-GB" w:eastAsia="es-ES"/>
        </w:rPr>
        <w:t>Hydrogen could be transported at an average cost between 0.11 and 0.21 €/kg for every 1,000 km of network, representing a competitive cost.</w:t>
      </w:r>
    </w:p>
    <w:p w14:paraId="57DED9B2" w14:textId="77777777" w:rsidR="00ED28DC" w:rsidRPr="0088218C" w:rsidRDefault="00ED28DC" w:rsidP="00F668C6">
      <w:pPr>
        <w:spacing w:line="276" w:lineRule="auto"/>
        <w:ind w:left="1134"/>
        <w:jc w:val="both"/>
      </w:pPr>
    </w:p>
    <w:p w14:paraId="1B526027" w14:textId="77777777" w:rsidR="00ED28DC" w:rsidRDefault="00ED28DC" w:rsidP="00F668C6">
      <w:pPr>
        <w:spacing w:line="276" w:lineRule="auto"/>
        <w:jc w:val="both"/>
      </w:pPr>
      <w:r w:rsidRPr="0088218C">
        <w:t xml:space="preserve">In </w:t>
      </w:r>
      <w:r w:rsidRPr="0088218C">
        <w:fldChar w:fldCharType="begin"/>
      </w:r>
      <w:r w:rsidRPr="0088218C">
        <w:instrText xml:space="preserve"> REF _Ref95754106 \h </w:instrText>
      </w:r>
      <w:r>
        <w:instrText xml:space="preserve"> \* MERGEFORMAT </w:instrText>
      </w:r>
      <w:r w:rsidRPr="0088218C">
        <w:fldChar w:fldCharType="separate"/>
      </w:r>
      <w:r w:rsidRPr="00186892">
        <w:rPr>
          <w:b/>
          <w:color w:val="007AAE"/>
        </w:rPr>
        <w:t xml:space="preserve">Figure </w:t>
      </w:r>
      <w:r w:rsidRPr="00186892">
        <w:rPr>
          <w:b/>
          <w:noProof/>
          <w:color w:val="007AAE"/>
        </w:rPr>
        <w:t>5</w:t>
      </w:r>
      <w:r w:rsidRPr="0088218C">
        <w:fldChar w:fldCharType="end"/>
      </w:r>
      <w:r w:rsidRPr="0088218C">
        <w:t xml:space="preserve">, the detail of how this adaptation of the existing gas network is planned in 2030, 2035 and 2040 horizons </w:t>
      </w:r>
      <w:proofErr w:type="gramStart"/>
      <w:r>
        <w:t>is</w:t>
      </w:r>
      <w:proofErr w:type="gramEnd"/>
      <w:r w:rsidRPr="0088218C">
        <w:t xml:space="preserve"> shown.</w:t>
      </w:r>
    </w:p>
    <w:p w14:paraId="423F6D84" w14:textId="77777777" w:rsidR="00ED28DC" w:rsidRDefault="00ED28DC" w:rsidP="00F668C6">
      <w:pPr>
        <w:spacing w:line="276" w:lineRule="auto"/>
        <w:ind w:left="1134"/>
        <w:jc w:val="both"/>
      </w:pPr>
    </w:p>
    <w:p w14:paraId="16594762" w14:textId="77777777" w:rsidR="00ED28DC" w:rsidRPr="00145D2D" w:rsidRDefault="00ED28DC" w:rsidP="00F668C6">
      <w:pPr>
        <w:spacing w:line="276" w:lineRule="auto"/>
        <w:ind w:left="1134"/>
        <w:jc w:val="both"/>
      </w:pPr>
    </w:p>
    <w:p w14:paraId="7A1439B0" w14:textId="77777777" w:rsidR="00ED28DC" w:rsidRDefault="00ED28DC" w:rsidP="00C37A1B">
      <w:pPr>
        <w:spacing w:line="276" w:lineRule="auto"/>
        <w:jc w:val="center"/>
      </w:pPr>
      <w:r>
        <w:rPr>
          <w:noProof/>
        </w:rPr>
        <w:lastRenderedPageBreak/>
        <w:drawing>
          <wp:inline distT="0" distB="0" distL="0" distR="0" wp14:anchorId="3F6CCF14" wp14:editId="2338DBC2">
            <wp:extent cx="6191570" cy="3002192"/>
            <wp:effectExtent l="0" t="0" r="0" b="8255"/>
            <wp:docPr id="2055" name="Imagen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05221" cy="3008811"/>
                    </a:xfrm>
                    <a:prstGeom prst="rect">
                      <a:avLst/>
                    </a:prstGeom>
                    <a:noFill/>
                  </pic:spPr>
                </pic:pic>
              </a:graphicData>
            </a:graphic>
          </wp:inline>
        </w:drawing>
      </w:r>
    </w:p>
    <w:p w14:paraId="74F612E4" w14:textId="58CFD880" w:rsidR="00ED28DC" w:rsidRPr="009252DF" w:rsidRDefault="00ED28DC" w:rsidP="00F668C6">
      <w:pPr>
        <w:spacing w:before="120" w:line="276" w:lineRule="auto"/>
        <w:ind w:left="2552" w:right="1134" w:hanging="1418"/>
        <w:jc w:val="both"/>
        <w:rPr>
          <w:sz w:val="18"/>
          <w:szCs w:val="18"/>
        </w:rPr>
      </w:pPr>
      <w:bookmarkStart w:id="24" w:name="_Ref95754106"/>
      <w:r w:rsidRPr="008742FB">
        <w:rPr>
          <w:b/>
          <w:color w:val="007AAE"/>
          <w:sz w:val="18"/>
          <w:szCs w:val="18"/>
        </w:rPr>
        <w:t xml:space="preserve">Figure </w:t>
      </w:r>
      <w:r w:rsidRPr="008742FB">
        <w:rPr>
          <w:b/>
          <w:color w:val="007AAE"/>
          <w:sz w:val="18"/>
          <w:szCs w:val="18"/>
        </w:rPr>
        <w:fldChar w:fldCharType="begin"/>
      </w:r>
      <w:r w:rsidRPr="008742FB">
        <w:rPr>
          <w:b/>
          <w:color w:val="007AAE"/>
          <w:sz w:val="18"/>
          <w:szCs w:val="18"/>
        </w:rPr>
        <w:instrText xml:space="preserve"> SEQ Figure \* ARABIC </w:instrText>
      </w:r>
      <w:r w:rsidRPr="008742FB">
        <w:rPr>
          <w:b/>
          <w:color w:val="007AAE"/>
          <w:sz w:val="18"/>
          <w:szCs w:val="18"/>
        </w:rPr>
        <w:fldChar w:fldCharType="separate"/>
      </w:r>
      <w:r w:rsidR="00EF1E54">
        <w:rPr>
          <w:b/>
          <w:noProof/>
          <w:color w:val="007AAE"/>
          <w:sz w:val="18"/>
          <w:szCs w:val="18"/>
        </w:rPr>
        <w:t>5</w:t>
      </w:r>
      <w:r w:rsidRPr="008742FB">
        <w:rPr>
          <w:b/>
          <w:color w:val="007AAE"/>
          <w:sz w:val="18"/>
          <w:szCs w:val="18"/>
        </w:rPr>
        <w:fldChar w:fldCharType="end"/>
      </w:r>
      <w:bookmarkEnd w:id="24"/>
      <w:r w:rsidRPr="008742FB">
        <w:rPr>
          <w:bCs/>
          <w:sz w:val="18"/>
          <w:szCs w:val="18"/>
        </w:rPr>
        <w:t>.-</w:t>
      </w:r>
      <w:r w:rsidRPr="009252DF">
        <w:rPr>
          <w:b/>
          <w:sz w:val="18"/>
          <w:szCs w:val="18"/>
        </w:rPr>
        <w:tab/>
      </w:r>
      <w:r w:rsidRPr="00094168">
        <w:rPr>
          <w:sz w:val="18"/>
          <w:szCs w:val="18"/>
        </w:rPr>
        <w:t>Emerging European</w:t>
      </w:r>
      <w:r>
        <w:rPr>
          <w:sz w:val="18"/>
          <w:szCs w:val="18"/>
        </w:rPr>
        <w:t xml:space="preserve"> </w:t>
      </w:r>
      <w:r w:rsidRPr="00094168">
        <w:rPr>
          <w:sz w:val="18"/>
          <w:szCs w:val="18"/>
        </w:rPr>
        <w:t>Hydrogen Backbone in</w:t>
      </w:r>
      <w:r>
        <w:rPr>
          <w:sz w:val="18"/>
          <w:szCs w:val="18"/>
        </w:rPr>
        <w:t xml:space="preserve"> 2030 and growing network in 2035 and 2040. </w:t>
      </w:r>
      <w:r w:rsidRPr="00CF6846">
        <w:rPr>
          <w:b/>
          <w:bCs/>
          <w:color w:val="007AAE"/>
          <w:sz w:val="18"/>
          <w:szCs w:val="18"/>
        </w:rPr>
        <w:fldChar w:fldCharType="begin"/>
      </w:r>
      <w:r w:rsidRPr="00CF6846">
        <w:rPr>
          <w:b/>
          <w:bCs/>
          <w:color w:val="007AAE"/>
          <w:sz w:val="18"/>
          <w:szCs w:val="18"/>
        </w:rPr>
        <w:instrText xml:space="preserve"> REF _Ref96687030 \r \h  \* MERGEFORMAT </w:instrText>
      </w:r>
      <w:r w:rsidRPr="00CF6846">
        <w:rPr>
          <w:b/>
          <w:bCs/>
          <w:color w:val="007AAE"/>
          <w:sz w:val="18"/>
          <w:szCs w:val="18"/>
        </w:rPr>
      </w:r>
      <w:r w:rsidRPr="00CF6846">
        <w:rPr>
          <w:b/>
          <w:bCs/>
          <w:color w:val="007AAE"/>
          <w:sz w:val="18"/>
          <w:szCs w:val="18"/>
        </w:rPr>
        <w:fldChar w:fldCharType="separate"/>
      </w:r>
      <w:r>
        <w:rPr>
          <w:b/>
          <w:bCs/>
          <w:color w:val="007AAE"/>
          <w:sz w:val="18"/>
          <w:szCs w:val="18"/>
        </w:rPr>
        <w:t>[11]</w:t>
      </w:r>
      <w:r w:rsidRPr="00CF6846">
        <w:rPr>
          <w:b/>
          <w:bCs/>
          <w:color w:val="007AAE"/>
          <w:sz w:val="18"/>
          <w:szCs w:val="18"/>
        </w:rPr>
        <w:fldChar w:fldCharType="end"/>
      </w:r>
    </w:p>
    <w:p w14:paraId="0783A8FC" w14:textId="77777777" w:rsidR="00ED28DC" w:rsidRPr="00DF129A" w:rsidRDefault="00ED28DC" w:rsidP="00F668C6">
      <w:pPr>
        <w:spacing w:line="276" w:lineRule="auto"/>
        <w:jc w:val="both"/>
      </w:pPr>
      <w:r w:rsidRPr="00DF129A">
        <w:t>According to the European Hydrogen Backbone</w:t>
      </w:r>
      <w:r>
        <w:t xml:space="preserve"> </w:t>
      </w:r>
      <w:r w:rsidRPr="00DF129A">
        <w:t>initiative, most hydrogen infrastructure projects will</w:t>
      </w:r>
      <w:r>
        <w:t xml:space="preserve"> </w:t>
      </w:r>
      <w:r w:rsidRPr="00DF129A">
        <w:t>first develop in industrial clusters, ports, and cities</w:t>
      </w:r>
      <w:r>
        <w:t xml:space="preserve"> </w:t>
      </w:r>
      <w:r w:rsidRPr="00DF129A">
        <w:t>in the north of the continent (Belgium, Netherlands,</w:t>
      </w:r>
      <w:r>
        <w:t xml:space="preserve"> </w:t>
      </w:r>
      <w:r w:rsidRPr="00DF129A">
        <w:t>North-West Germany) by 2030. Other network additions or retrofits include France and</w:t>
      </w:r>
      <w:r>
        <w:t xml:space="preserve"> </w:t>
      </w:r>
      <w:r w:rsidRPr="00DF129A">
        <w:t>Spain or</w:t>
      </w:r>
      <w:r>
        <w:t xml:space="preserve"> </w:t>
      </w:r>
      <w:r w:rsidRPr="00DF129A">
        <w:t>Denmark and Sweden. By 2035, the hydrogen network will</w:t>
      </w:r>
      <w:r>
        <w:t xml:space="preserve"> </w:t>
      </w:r>
      <w:r w:rsidRPr="00DF129A">
        <w:t>grow from regional networks to a (trans)national</w:t>
      </w:r>
      <w:r>
        <w:t xml:space="preserve"> </w:t>
      </w:r>
      <w:r w:rsidRPr="00DF129A">
        <w:t>scale with an interconnection</w:t>
      </w:r>
      <w:r>
        <w:t xml:space="preserve"> </w:t>
      </w:r>
      <w:r w:rsidRPr="00DF129A">
        <w:t>between Denmark and Germany and extending</w:t>
      </w:r>
      <w:r>
        <w:t xml:space="preserve"> </w:t>
      </w:r>
      <w:r w:rsidRPr="00DF129A">
        <w:t>the north-south corridor in France to Marseille. By</w:t>
      </w:r>
      <w:r>
        <w:t xml:space="preserve"> </w:t>
      </w:r>
      <w:r w:rsidRPr="00DF129A">
        <w:t>2040, the network will become pan-European and</w:t>
      </w:r>
      <w:r>
        <w:t xml:space="preserve"> </w:t>
      </w:r>
      <w:r w:rsidRPr="009E57D2">
        <w:t>eventually incorporate green hydrogen imports</w:t>
      </w:r>
      <w:r>
        <w:t xml:space="preserve"> </w:t>
      </w:r>
      <w:r w:rsidRPr="009E57D2">
        <w:t>from North Africa, the North Sea, and possibly</w:t>
      </w:r>
      <w:r>
        <w:t xml:space="preserve"> </w:t>
      </w:r>
      <w:r w:rsidRPr="009E57D2">
        <w:t>Ukraine. An example of this progression could be</w:t>
      </w:r>
      <w:r>
        <w:t xml:space="preserve"> </w:t>
      </w:r>
      <w:r w:rsidRPr="009E57D2">
        <w:t>hydrogen valleys around Valencia, Barcelona, and</w:t>
      </w:r>
      <w:r>
        <w:t xml:space="preserve"> </w:t>
      </w:r>
      <w:r w:rsidRPr="009E57D2">
        <w:t>other Spanish industrial clusters. These would be</w:t>
      </w:r>
      <w:r>
        <w:t xml:space="preserve"> </w:t>
      </w:r>
      <w:r w:rsidRPr="009E57D2">
        <w:t>subsequently integrated with the rest of Spain</w:t>
      </w:r>
      <w:r>
        <w:t xml:space="preserve"> </w:t>
      </w:r>
      <w:r w:rsidRPr="009E57D2">
        <w:t>through both retrofits and newly constructed H</w:t>
      </w:r>
      <w:r w:rsidRPr="0088218C">
        <w:rPr>
          <w:vertAlign w:val="subscript"/>
        </w:rPr>
        <w:t>2</w:t>
      </w:r>
      <w:r>
        <w:t xml:space="preserve"> </w:t>
      </w:r>
      <w:r w:rsidRPr="009E57D2">
        <w:t>pipelines before connecting the Spanish network</w:t>
      </w:r>
      <w:r>
        <w:t xml:space="preserve"> </w:t>
      </w:r>
      <w:r w:rsidRPr="009E57D2">
        <w:t>internationally, for example</w:t>
      </w:r>
      <w:r>
        <w:t>,</w:t>
      </w:r>
      <w:r w:rsidRPr="009E57D2">
        <w:t xml:space="preserve"> to Marseille, France.</w:t>
      </w:r>
    </w:p>
    <w:p w14:paraId="6D1D47B5" w14:textId="77777777" w:rsidR="00ED28DC" w:rsidRPr="009E57D2" w:rsidRDefault="00ED28DC" w:rsidP="00F668C6">
      <w:pPr>
        <w:spacing w:line="276" w:lineRule="auto"/>
        <w:jc w:val="both"/>
      </w:pPr>
      <w:r w:rsidRPr="009E57D2">
        <w:t>The study concludes that</w:t>
      </w:r>
      <w:r>
        <w:t xml:space="preserve"> </w:t>
      </w:r>
      <w:r w:rsidRPr="009E57D2">
        <w:t>retrofitting existing natural gas pipelines to transport</w:t>
      </w:r>
      <w:r>
        <w:t xml:space="preserve"> </w:t>
      </w:r>
      <w:r w:rsidRPr="009E57D2">
        <w:t>hydrogen is the most cost-effective solution</w:t>
      </w:r>
      <w:r>
        <w:t xml:space="preserve"> </w:t>
      </w:r>
      <w:r w:rsidRPr="009E57D2">
        <w:t>for building an EU-wide pipeline network. It estimates</w:t>
      </w:r>
      <w:r>
        <w:t xml:space="preserve"> </w:t>
      </w:r>
      <w:r w:rsidRPr="009E57D2">
        <w:t xml:space="preserve">that </w:t>
      </w:r>
      <w:r>
        <w:t>constructing a hydrogen pipeline would be 10-50 % more expensive than building a new natural gas pipeline, while retrofitting a natural gas pipeline would only require 10-25 % of the CAPEX needed for a</w:t>
      </w:r>
      <w:r w:rsidRPr="009E57D2">
        <w:t xml:space="preserve"> new hydrogen pipeline.</w:t>
      </w:r>
    </w:p>
    <w:p w14:paraId="6C29A0B0" w14:textId="14065EBA" w:rsidR="00ED28DC" w:rsidRDefault="00ED28DC" w:rsidP="00F668C6">
      <w:pPr>
        <w:spacing w:line="276" w:lineRule="auto"/>
        <w:jc w:val="both"/>
      </w:pPr>
      <w:r w:rsidRPr="004E67F7">
        <w:t>Given TSOs know-how in operating gas transmission infrastructure, the gas TSOs should be among those certified as owners and operators of future hydrogen networks.</w:t>
      </w:r>
    </w:p>
    <w:p w14:paraId="273DDC23" w14:textId="11E49554" w:rsidR="00ED28DC" w:rsidRDefault="004C7736" w:rsidP="004C7736">
      <w:pPr>
        <w:pStyle w:val="Heading3"/>
      </w:pPr>
      <w:bookmarkStart w:id="25" w:name="_Toc121830935"/>
      <w:r>
        <w:t xml:space="preserve">3.1.6 </w:t>
      </w:r>
      <w:r w:rsidR="00ED28DC" w:rsidRPr="00ED28DC">
        <w:t>HYDROGEN QUALITY</w:t>
      </w:r>
      <w:bookmarkEnd w:id="25"/>
    </w:p>
    <w:p w14:paraId="50244688" w14:textId="27D6C8B5" w:rsidR="007F21AA" w:rsidRDefault="002E48E9" w:rsidP="00F668C6">
      <w:pPr>
        <w:spacing w:line="276" w:lineRule="auto"/>
        <w:jc w:val="both"/>
      </w:pPr>
      <w:bookmarkStart w:id="26" w:name="_Ref96937896"/>
      <w:r w:rsidRPr="002E48E9">
        <w:t xml:space="preserve">EASEE-gas has </w:t>
      </w:r>
      <w:proofErr w:type="gramStart"/>
      <w:r w:rsidRPr="002E48E9">
        <w:t>released recently</w:t>
      </w:r>
      <w:proofErr w:type="gramEnd"/>
      <w:r w:rsidRPr="002E48E9">
        <w:t xml:space="preserve"> the Common Business Practice (CBP) 2022-001-01 ‘Hydrogen Quality Specification’ </w:t>
      </w:r>
      <w:r w:rsidRPr="002E48E9">
        <w:rPr>
          <w:b/>
          <w:color w:val="007AAE"/>
        </w:rPr>
        <w:t>[13]</w:t>
      </w:r>
      <w:r w:rsidRPr="002E48E9">
        <w:t>, which defines a recommended quality specification for dedicated hydrogen transport by pipeline (</w:t>
      </w:r>
      <w:r>
        <w:fldChar w:fldCharType="begin"/>
      </w:r>
      <w:r>
        <w:instrText xml:space="preserve"> REF _Ref111020871 \h </w:instrText>
      </w:r>
      <w:r>
        <w:fldChar w:fldCharType="separate"/>
      </w:r>
      <w:r w:rsidRPr="00676798">
        <w:rPr>
          <w:b/>
          <w:color w:val="007AAE"/>
          <w:sz w:val="18"/>
          <w:szCs w:val="18"/>
        </w:rPr>
        <w:t xml:space="preserve">Table </w:t>
      </w:r>
      <w:r>
        <w:rPr>
          <w:b/>
          <w:noProof/>
          <w:color w:val="007AAE"/>
          <w:sz w:val="18"/>
          <w:szCs w:val="18"/>
        </w:rPr>
        <w:t>2</w:t>
      </w:r>
      <w:r>
        <w:fldChar w:fldCharType="end"/>
      </w:r>
      <w:r w:rsidRPr="002E48E9">
        <w:t xml:space="preserve">), either of new built or retrofitted from the gas system. This CBP focuses on ‘industrial grade’ hydrogen produced by electrolysis or steam methane reforming, and the latter does not deliver fuel cell quality hydrogen. Additionally, no hands-on experience is available on the possible effects of residues in the pipeline resulting from the previous exposure to natural gas on the hydrogen transmitted through such a pipeline. The higher the purity requirement, the higher the risk that small amounts of a particular contaminant result in an </w:t>
      </w:r>
      <w:proofErr w:type="gramStart"/>
      <w:r w:rsidRPr="002E48E9">
        <w:t>off-specification</w:t>
      </w:r>
      <w:proofErr w:type="gramEnd"/>
      <w:r w:rsidRPr="002E48E9">
        <w:t xml:space="preserve"> at the exit. The basis for the parameters and their limit values in this CBP is based on an internal analysis carried out by EASEE-gas, </w:t>
      </w:r>
      <w:proofErr w:type="gramStart"/>
      <w:r w:rsidRPr="002E48E9">
        <w:t>taking into account</w:t>
      </w:r>
      <w:proofErr w:type="gramEnd"/>
      <w:r w:rsidRPr="002E48E9">
        <w:t xml:space="preserve"> end-user requirements, market shares, hydrogen quality obtained by the various production techniques and the contribution of the pipeline.</w:t>
      </w:r>
    </w:p>
    <w:p w14:paraId="75DE929B" w14:textId="77777777" w:rsidR="00587BAB" w:rsidRDefault="00587BAB" w:rsidP="00F668C6">
      <w:pPr>
        <w:spacing w:line="276" w:lineRule="auto"/>
        <w:jc w:val="both"/>
      </w:pPr>
    </w:p>
    <w:p w14:paraId="561FFED1" w14:textId="6FEBB80F" w:rsidR="00ED28DC" w:rsidRDefault="00ED28DC" w:rsidP="00F668C6">
      <w:pPr>
        <w:spacing w:line="276" w:lineRule="auto"/>
        <w:ind w:left="2552" w:right="1134" w:hanging="1418"/>
        <w:jc w:val="both"/>
        <w:rPr>
          <w:bCs/>
          <w:sz w:val="18"/>
          <w:szCs w:val="18"/>
        </w:rPr>
      </w:pPr>
      <w:bookmarkStart w:id="27" w:name="_Ref111020871"/>
      <w:r w:rsidRPr="00676798">
        <w:rPr>
          <w:b/>
          <w:color w:val="007AAE"/>
          <w:sz w:val="18"/>
          <w:szCs w:val="18"/>
        </w:rPr>
        <w:lastRenderedPageBreak/>
        <w:t xml:space="preserve">Table </w:t>
      </w:r>
      <w:r w:rsidRPr="008742FB">
        <w:rPr>
          <w:b/>
          <w:color w:val="007AAE"/>
          <w:sz w:val="18"/>
          <w:szCs w:val="18"/>
          <w:lang w:val="es-ES_tradnl"/>
        </w:rPr>
        <w:fldChar w:fldCharType="begin"/>
      </w:r>
      <w:r w:rsidRPr="00676798">
        <w:rPr>
          <w:b/>
          <w:color w:val="007AAE"/>
          <w:sz w:val="18"/>
          <w:szCs w:val="18"/>
        </w:rPr>
        <w:instrText xml:space="preserve"> SEQ Table \* ARABIC </w:instrText>
      </w:r>
      <w:r w:rsidRPr="008742FB">
        <w:rPr>
          <w:b/>
          <w:color w:val="007AAE"/>
          <w:sz w:val="18"/>
          <w:szCs w:val="18"/>
          <w:lang w:val="es-ES_tradnl"/>
        </w:rPr>
        <w:fldChar w:fldCharType="separate"/>
      </w:r>
      <w:r>
        <w:rPr>
          <w:b/>
          <w:noProof/>
          <w:color w:val="007AAE"/>
          <w:sz w:val="18"/>
          <w:szCs w:val="18"/>
        </w:rPr>
        <w:t>2</w:t>
      </w:r>
      <w:r w:rsidRPr="008742FB">
        <w:rPr>
          <w:b/>
          <w:color w:val="007AAE"/>
          <w:sz w:val="18"/>
          <w:szCs w:val="18"/>
          <w:lang w:val="es-ES_tradnl"/>
        </w:rPr>
        <w:fldChar w:fldCharType="end"/>
      </w:r>
      <w:bookmarkEnd w:id="26"/>
      <w:bookmarkEnd w:id="27"/>
      <w:r w:rsidRPr="00676798">
        <w:rPr>
          <w:bCs/>
          <w:sz w:val="18"/>
          <w:szCs w:val="18"/>
        </w:rPr>
        <w:t>.-</w:t>
      </w:r>
      <w:r w:rsidRPr="00676798">
        <w:rPr>
          <w:bCs/>
          <w:sz w:val="18"/>
          <w:szCs w:val="18"/>
        </w:rPr>
        <w:tab/>
      </w:r>
      <w:r>
        <w:rPr>
          <w:bCs/>
          <w:sz w:val="18"/>
          <w:szCs w:val="18"/>
        </w:rPr>
        <w:t xml:space="preserve">Parameters and limit values defined in the CBP 2022-001/01 </w:t>
      </w:r>
      <w:r w:rsidRPr="008351EA">
        <w:rPr>
          <w:b/>
          <w:color w:val="007AAE"/>
          <w:sz w:val="18"/>
          <w:szCs w:val="18"/>
        </w:rPr>
        <w:fldChar w:fldCharType="begin"/>
      </w:r>
      <w:r w:rsidRPr="008351EA">
        <w:rPr>
          <w:b/>
          <w:color w:val="007AAE"/>
          <w:sz w:val="18"/>
          <w:szCs w:val="18"/>
        </w:rPr>
        <w:instrText xml:space="preserve"> REF _Ref96349686 \r \h </w:instrText>
      </w:r>
      <w:r>
        <w:rPr>
          <w:b/>
          <w:color w:val="007AAE"/>
          <w:sz w:val="18"/>
          <w:szCs w:val="18"/>
        </w:rPr>
        <w:instrText xml:space="preserve"> \* MERGEFORMAT </w:instrText>
      </w:r>
      <w:r w:rsidRPr="008351EA">
        <w:rPr>
          <w:b/>
          <w:color w:val="007AAE"/>
          <w:sz w:val="18"/>
          <w:szCs w:val="18"/>
        </w:rPr>
      </w:r>
      <w:r w:rsidRPr="008351EA">
        <w:rPr>
          <w:b/>
          <w:color w:val="007AAE"/>
          <w:sz w:val="18"/>
          <w:szCs w:val="18"/>
        </w:rPr>
        <w:fldChar w:fldCharType="separate"/>
      </w:r>
      <w:r w:rsidR="00823712">
        <w:rPr>
          <w:b/>
          <w:color w:val="007AAE"/>
          <w:sz w:val="18"/>
          <w:szCs w:val="18"/>
        </w:rPr>
        <w:t>[13]</w:t>
      </w:r>
      <w:r w:rsidRPr="008351EA">
        <w:rPr>
          <w:b/>
          <w:color w:val="007AAE"/>
          <w:sz w:val="18"/>
          <w:szCs w:val="18"/>
        </w:rPr>
        <w:fldChar w:fldCharType="end"/>
      </w:r>
      <w:r w:rsidRPr="00676798">
        <w:rPr>
          <w:bCs/>
          <w:sz w:val="18"/>
          <w:szCs w:val="18"/>
        </w:rPr>
        <w:t>.</w:t>
      </w:r>
    </w:p>
    <w:p w14:paraId="247F7597" w14:textId="77777777" w:rsidR="00ED28DC" w:rsidRPr="00E93E17" w:rsidRDefault="00ED28DC" w:rsidP="00F668C6">
      <w:pPr>
        <w:spacing w:after="120" w:line="276" w:lineRule="auto"/>
        <w:ind w:left="2835" w:right="1134"/>
        <w:jc w:val="both"/>
        <w:rPr>
          <w:bCs/>
          <w:sz w:val="18"/>
          <w:szCs w:val="18"/>
        </w:rPr>
      </w:pPr>
      <w:r>
        <w:rPr>
          <w:sz w:val="16"/>
          <w:szCs w:val="18"/>
          <w:vertAlign w:val="superscript"/>
        </w:rPr>
        <w:t>*</w:t>
      </w:r>
      <w:r w:rsidRPr="00E93E17">
        <w:rPr>
          <w:sz w:val="16"/>
          <w:szCs w:val="18"/>
        </w:rPr>
        <w:t xml:space="preserve"> </w:t>
      </w:r>
      <w:r>
        <w:rPr>
          <w:sz w:val="16"/>
          <w:szCs w:val="18"/>
        </w:rPr>
        <w:t xml:space="preserve">A </w:t>
      </w:r>
      <w:r w:rsidRPr="00792F79">
        <w:rPr>
          <w:sz w:val="16"/>
          <w:szCs w:val="18"/>
        </w:rPr>
        <w:t xml:space="preserve">hydrogen concentration equal </w:t>
      </w:r>
      <w:r>
        <w:rPr>
          <w:sz w:val="16"/>
          <w:szCs w:val="18"/>
        </w:rPr>
        <w:t xml:space="preserve">to </w:t>
      </w:r>
      <w:r w:rsidRPr="00792F79">
        <w:rPr>
          <w:sz w:val="16"/>
          <w:szCs w:val="18"/>
        </w:rPr>
        <w:t>or higher than 98 mol-% is proposed</w:t>
      </w:r>
      <w:r>
        <w:rPr>
          <w:sz w:val="16"/>
          <w:szCs w:val="18"/>
        </w:rPr>
        <w:t>, agreeing</w:t>
      </w:r>
      <w:r w:rsidRPr="00792F79">
        <w:rPr>
          <w:sz w:val="16"/>
          <w:szCs w:val="18"/>
        </w:rPr>
        <w:t xml:space="preserve"> with the hydrogen purity stated for Grade A in ISO 14687:2019 standard</w:t>
      </w:r>
      <w:r>
        <w:rPr>
          <w:sz w:val="16"/>
          <w:szCs w:val="18"/>
        </w:rPr>
        <w:t>. In ISO 14687: 2019 standard, t</w:t>
      </w:r>
      <w:r w:rsidRPr="00792F79">
        <w:rPr>
          <w:sz w:val="16"/>
          <w:szCs w:val="18"/>
        </w:rPr>
        <w:t>he specification for a hydrogen grade for Proton exchange membranes refers to hydrogen with very high purity (minimum 99,97 mol-% H</w:t>
      </w:r>
      <w:r w:rsidRPr="00792F79">
        <w:rPr>
          <w:sz w:val="16"/>
          <w:szCs w:val="18"/>
          <w:vertAlign w:val="subscript"/>
        </w:rPr>
        <w:t>2</w:t>
      </w:r>
      <w:r w:rsidRPr="00792F79">
        <w:rPr>
          <w:sz w:val="16"/>
          <w:szCs w:val="18"/>
        </w:rPr>
        <w:t xml:space="preserve">). This very high purity hydrogen can neither be guaranteed in a ‘former’ natural gas network nor is it necessary for the larger part of the hydrogen end consumers. On the other hand, the lower grade hydrogen specifications don’t contain the </w:t>
      </w:r>
      <w:r>
        <w:rPr>
          <w:sz w:val="16"/>
          <w:szCs w:val="18"/>
        </w:rPr>
        <w:t>required</w:t>
      </w:r>
      <w:r w:rsidRPr="00792F79">
        <w:rPr>
          <w:sz w:val="16"/>
          <w:szCs w:val="18"/>
        </w:rPr>
        <w:t xml:space="preserve"> limit values for parameters </w:t>
      </w:r>
      <w:r>
        <w:rPr>
          <w:sz w:val="16"/>
          <w:szCs w:val="18"/>
        </w:rPr>
        <w:t>typic</w:t>
      </w:r>
      <w:r w:rsidRPr="00792F79">
        <w:rPr>
          <w:sz w:val="16"/>
          <w:szCs w:val="18"/>
        </w:rPr>
        <w:t>ally encountered in natural gas like</w:t>
      </w:r>
      <w:r>
        <w:rPr>
          <w:sz w:val="16"/>
          <w:szCs w:val="18"/>
        </w:rPr>
        <w:t>,</w:t>
      </w:r>
      <w:r w:rsidRPr="00792F79">
        <w:rPr>
          <w:sz w:val="16"/>
          <w:szCs w:val="18"/>
        </w:rPr>
        <w:t xml:space="preserve"> for example</w:t>
      </w:r>
      <w:r>
        <w:rPr>
          <w:sz w:val="16"/>
          <w:szCs w:val="18"/>
        </w:rPr>
        <w:t>,</w:t>
      </w:r>
      <w:r w:rsidRPr="00792F79">
        <w:rPr>
          <w:sz w:val="16"/>
          <w:szCs w:val="18"/>
        </w:rPr>
        <w:t xml:space="preserve"> the water dewpoint and are therefore not suitable.</w:t>
      </w:r>
    </w:p>
    <w:p w14:paraId="48CED747" w14:textId="77777777" w:rsidR="00ED28DC" w:rsidRDefault="00ED28DC" w:rsidP="00F668C6">
      <w:pPr>
        <w:spacing w:line="276" w:lineRule="auto"/>
        <w:ind w:left="1134"/>
        <w:jc w:val="both"/>
        <w:rPr>
          <w:rFonts w:cs="Calibri"/>
        </w:rPr>
      </w:pPr>
      <w:r w:rsidRPr="00792F79">
        <w:rPr>
          <w:rFonts w:cs="Calibri"/>
          <w:noProof/>
        </w:rPr>
        <w:drawing>
          <wp:inline distT="0" distB="0" distL="0" distR="0" wp14:anchorId="427B8BB0" wp14:editId="253FAB91">
            <wp:extent cx="3482773" cy="3114675"/>
            <wp:effectExtent l="0" t="0" r="3810" b="0"/>
            <wp:docPr id="2059" name="Imagen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86329" cy="3117856"/>
                    </a:xfrm>
                    <a:prstGeom prst="rect">
                      <a:avLst/>
                    </a:prstGeom>
                  </pic:spPr>
                </pic:pic>
              </a:graphicData>
            </a:graphic>
          </wp:inline>
        </w:drawing>
      </w:r>
    </w:p>
    <w:p w14:paraId="7FB0F387" w14:textId="77777777" w:rsidR="00ED28DC" w:rsidRDefault="00ED28DC" w:rsidP="00F668C6">
      <w:pPr>
        <w:spacing w:line="276" w:lineRule="auto"/>
        <w:jc w:val="both"/>
      </w:pPr>
      <w:r w:rsidRPr="00264072">
        <w:t xml:space="preserve">Depending on the developments in hydrogen production and advances in the market, </w:t>
      </w:r>
      <w:r>
        <w:t>as</w:t>
      </w:r>
      <w:r w:rsidRPr="00264072">
        <w:t xml:space="preserve"> </w:t>
      </w:r>
      <w:r>
        <w:t>an extensiv</w:t>
      </w:r>
      <w:r w:rsidRPr="00264072">
        <w:t xml:space="preserve">e </w:t>
      </w:r>
      <w:r>
        <w:t>adoption of</w:t>
      </w:r>
      <w:r w:rsidRPr="00264072">
        <w:t xml:space="preserve"> fuel cells, it is recommended to evaluate the current specification after 3 years or earlier if necessary.</w:t>
      </w:r>
    </w:p>
    <w:p w14:paraId="65EE2D03" w14:textId="28621411" w:rsidR="00DF47A0" w:rsidRDefault="00DF47A0" w:rsidP="00F668C6">
      <w:pPr>
        <w:pStyle w:val="Heading2"/>
        <w:jc w:val="both"/>
      </w:pPr>
      <w:bookmarkStart w:id="28" w:name="_Toc121830936"/>
      <w:r>
        <w:t xml:space="preserve">3.2. </w:t>
      </w:r>
      <w:r w:rsidR="00A16A51" w:rsidRPr="00A16A51">
        <w:t>PRESSURE, FLOW RATE AND TEMPERATURE</w:t>
      </w:r>
      <w:bookmarkEnd w:id="28"/>
    </w:p>
    <w:p w14:paraId="048ABE3B" w14:textId="38443716" w:rsidR="00DF47A0" w:rsidRPr="00DF47A0" w:rsidRDefault="00DF47A0" w:rsidP="00F668C6">
      <w:pPr>
        <w:spacing w:line="276" w:lineRule="auto"/>
        <w:jc w:val="both"/>
      </w:pPr>
      <w:r>
        <w:t xml:space="preserve">A </w:t>
      </w:r>
      <w:r w:rsidRPr="00CE581B">
        <w:t xml:space="preserve">hydrogen pipeline network would </w:t>
      </w:r>
      <w:r>
        <w:t>comprise</w:t>
      </w:r>
      <w:r w:rsidRPr="00CE581B">
        <w:t xml:space="preserve"> essentially the same</w:t>
      </w:r>
      <w:r>
        <w:t xml:space="preserve"> </w:t>
      </w:r>
      <w:r w:rsidRPr="00CE581B">
        <w:t xml:space="preserve">components as natural gas </w:t>
      </w:r>
      <w:r>
        <w:t>one</w:t>
      </w:r>
      <w:r w:rsidRPr="00CE581B">
        <w:t>, assuming hydrogen</w:t>
      </w:r>
      <w:r>
        <w:t xml:space="preserve"> </w:t>
      </w:r>
      <w:r w:rsidRPr="00CE581B">
        <w:t>storage will be as widely available as natural gas storage is today.</w:t>
      </w:r>
      <w:r>
        <w:t xml:space="preserve"> In the case of hydrogen blending, the elements would be the same.</w:t>
      </w:r>
    </w:p>
    <w:p w14:paraId="6510A58B" w14:textId="4FD29037" w:rsidR="00ED28DC" w:rsidRDefault="004C7736" w:rsidP="004C7736">
      <w:pPr>
        <w:pStyle w:val="Heading3"/>
      </w:pPr>
      <w:bookmarkStart w:id="29" w:name="_Toc121830937"/>
      <w:r>
        <w:t xml:space="preserve">3.2.1 </w:t>
      </w:r>
      <w:r w:rsidR="00DF47A0" w:rsidRPr="00DF47A0">
        <w:t>PRESSURE</w:t>
      </w:r>
      <w:bookmarkEnd w:id="29"/>
    </w:p>
    <w:p w14:paraId="39547A94" w14:textId="77777777" w:rsidR="00DF47A0" w:rsidRPr="00F934E4" w:rsidRDefault="00DF47A0" w:rsidP="00F668C6">
      <w:pPr>
        <w:spacing w:line="276" w:lineRule="auto"/>
        <w:jc w:val="both"/>
        <w:rPr>
          <w:rFonts w:cstheme="minorHAnsi"/>
        </w:rPr>
      </w:pPr>
      <w:r w:rsidRPr="00E465D5">
        <w:t xml:space="preserve">Gas flowing from higher to lower pressure is the fundamental principle of the natural gas delivery system. </w:t>
      </w:r>
      <w:r>
        <w:t xml:space="preserve">Although the operating pressures in the different parts of gas infrastructure change between countries, the following values </w:t>
      </w:r>
      <w:r w:rsidRPr="00F934E4">
        <w:rPr>
          <w:rFonts w:cstheme="minorHAnsi"/>
        </w:rPr>
        <w:t>can be accepted as reference:</w:t>
      </w:r>
    </w:p>
    <w:p w14:paraId="78EF43CC" w14:textId="77777777" w:rsidR="00DF47A0" w:rsidRPr="00F934E4" w:rsidRDefault="00DF47A0" w:rsidP="00F668C6">
      <w:pPr>
        <w:pStyle w:val="ListParagraph"/>
        <w:numPr>
          <w:ilvl w:val="0"/>
          <w:numId w:val="8"/>
        </w:numPr>
        <w:spacing w:before="60" w:line="276" w:lineRule="auto"/>
        <w:ind w:left="1491" w:hanging="357"/>
        <w:contextualSpacing w:val="0"/>
        <w:jc w:val="both"/>
        <w:rPr>
          <w:rFonts w:asciiTheme="minorHAnsi" w:hAnsiTheme="minorHAnsi" w:cstheme="minorHAnsi"/>
          <w:lang w:val="en-GB"/>
        </w:rPr>
      </w:pPr>
      <w:r w:rsidRPr="006D0B1F">
        <w:rPr>
          <w:rFonts w:asciiTheme="minorHAnsi" w:hAnsiTheme="minorHAnsi" w:cstheme="minorHAnsi"/>
          <w:b/>
          <w:bCs/>
          <w:lang w:val="en-GB"/>
        </w:rPr>
        <w:t>Transmission:</w:t>
      </w:r>
      <w:r w:rsidRPr="00F934E4">
        <w:rPr>
          <w:rFonts w:asciiTheme="minorHAnsi" w:hAnsiTheme="minorHAnsi" w:cstheme="minorHAnsi"/>
          <w:lang w:val="en-GB"/>
        </w:rPr>
        <w:t xml:space="preserve"> Infrastructure intended to convey gas from one place to another through pipelines to supply gas to distribution systems or industrial consumers </w:t>
      </w:r>
      <w:r w:rsidRPr="00F934E4">
        <w:rPr>
          <w:rFonts w:asciiTheme="minorHAnsi" w:hAnsiTheme="minorHAnsi" w:cstheme="minorHAnsi"/>
          <w:b/>
          <w:bCs/>
          <w:color w:val="007AAE"/>
          <w:lang w:val="en-GB"/>
        </w:rPr>
        <w:fldChar w:fldCharType="begin"/>
      </w:r>
      <w:r w:rsidRPr="00F934E4">
        <w:rPr>
          <w:rFonts w:asciiTheme="minorHAnsi" w:hAnsiTheme="minorHAnsi" w:cstheme="minorHAnsi"/>
          <w:b/>
          <w:bCs/>
          <w:color w:val="007AAE"/>
          <w:lang w:val="en-GB"/>
        </w:rPr>
        <w:instrText xml:space="preserve"> REF _Ref96602767 \r \h  \* MERGEFORMAT </w:instrText>
      </w:r>
      <w:r w:rsidRPr="00F934E4">
        <w:rPr>
          <w:rFonts w:asciiTheme="minorHAnsi" w:hAnsiTheme="minorHAnsi" w:cstheme="minorHAnsi"/>
          <w:b/>
          <w:bCs/>
          <w:color w:val="007AAE"/>
          <w:lang w:val="en-GB"/>
        </w:rPr>
      </w:r>
      <w:r w:rsidRPr="00F934E4">
        <w:rPr>
          <w:rFonts w:asciiTheme="minorHAnsi" w:hAnsiTheme="minorHAnsi" w:cstheme="minorHAnsi"/>
          <w:b/>
          <w:bCs/>
          <w:color w:val="007AAE"/>
          <w:lang w:val="en-GB"/>
        </w:rPr>
        <w:fldChar w:fldCharType="separate"/>
      </w:r>
      <w:r w:rsidRPr="00F934E4">
        <w:rPr>
          <w:rFonts w:asciiTheme="minorHAnsi" w:hAnsiTheme="minorHAnsi" w:cstheme="minorHAnsi"/>
          <w:b/>
          <w:bCs/>
          <w:color w:val="007AAE"/>
          <w:lang w:val="en-GB"/>
        </w:rPr>
        <w:t>[14]</w:t>
      </w:r>
      <w:r w:rsidRPr="00F934E4">
        <w:rPr>
          <w:rFonts w:asciiTheme="minorHAnsi" w:hAnsiTheme="minorHAnsi" w:cstheme="minorHAnsi"/>
          <w:b/>
          <w:bCs/>
          <w:color w:val="007AAE"/>
          <w:lang w:val="en-GB"/>
        </w:rPr>
        <w:fldChar w:fldCharType="end"/>
      </w:r>
      <w:r w:rsidRPr="00F934E4">
        <w:rPr>
          <w:rFonts w:asciiTheme="minorHAnsi" w:hAnsiTheme="minorHAnsi" w:cstheme="minorHAnsi"/>
          <w:lang w:val="en-GB"/>
        </w:rPr>
        <w:t xml:space="preserve">. European Standard EN 1594 </w:t>
      </w:r>
      <w:r w:rsidRPr="00F934E4">
        <w:rPr>
          <w:rFonts w:asciiTheme="minorHAnsi" w:hAnsiTheme="minorHAnsi" w:cstheme="minorHAnsi"/>
          <w:b/>
          <w:bCs/>
          <w:color w:val="007AAE"/>
          <w:lang w:val="en-GB"/>
        </w:rPr>
        <w:fldChar w:fldCharType="begin"/>
      </w:r>
      <w:r w:rsidRPr="00F934E4">
        <w:rPr>
          <w:rFonts w:asciiTheme="minorHAnsi" w:hAnsiTheme="minorHAnsi" w:cstheme="minorHAnsi"/>
          <w:b/>
          <w:bCs/>
          <w:color w:val="007AAE"/>
          <w:lang w:val="en-GB"/>
        </w:rPr>
        <w:instrText xml:space="preserve"> REF _Ref96602767 \r \h  \* MERGEFORMAT </w:instrText>
      </w:r>
      <w:r w:rsidRPr="00F934E4">
        <w:rPr>
          <w:rFonts w:asciiTheme="minorHAnsi" w:hAnsiTheme="minorHAnsi" w:cstheme="minorHAnsi"/>
          <w:b/>
          <w:bCs/>
          <w:color w:val="007AAE"/>
          <w:lang w:val="en-GB"/>
        </w:rPr>
      </w:r>
      <w:r w:rsidRPr="00F934E4">
        <w:rPr>
          <w:rFonts w:asciiTheme="minorHAnsi" w:hAnsiTheme="minorHAnsi" w:cstheme="minorHAnsi"/>
          <w:b/>
          <w:bCs/>
          <w:color w:val="007AAE"/>
          <w:lang w:val="en-GB"/>
        </w:rPr>
        <w:fldChar w:fldCharType="separate"/>
      </w:r>
      <w:r w:rsidRPr="00F934E4">
        <w:rPr>
          <w:rFonts w:asciiTheme="minorHAnsi" w:hAnsiTheme="minorHAnsi" w:cstheme="minorHAnsi"/>
          <w:b/>
          <w:bCs/>
          <w:color w:val="007AAE"/>
          <w:lang w:val="en-GB"/>
        </w:rPr>
        <w:t>[14]</w:t>
      </w:r>
      <w:r w:rsidRPr="00F934E4">
        <w:rPr>
          <w:rFonts w:asciiTheme="minorHAnsi" w:hAnsiTheme="minorHAnsi" w:cstheme="minorHAnsi"/>
          <w:b/>
          <w:bCs/>
          <w:color w:val="007AAE"/>
          <w:lang w:val="en-GB"/>
        </w:rPr>
        <w:fldChar w:fldCharType="end"/>
      </w:r>
      <w:r w:rsidRPr="00F934E4">
        <w:rPr>
          <w:rFonts w:asciiTheme="minorHAnsi" w:hAnsiTheme="minorHAnsi" w:cstheme="minorHAnsi"/>
          <w:lang w:val="en-GB"/>
        </w:rPr>
        <w:t xml:space="preserve"> describes the general requirements for gas supply through pipe systems and covers the pressure range higher than 16 bar maximum operating pressure (MOP) for steel systems. Therefore, this pressure could be considered a general separation between transmission and distribution systems. More specifically, in the range over 16 bar, </w:t>
      </w:r>
      <w:r w:rsidRPr="00F934E4">
        <w:rPr>
          <w:rFonts w:asciiTheme="minorHAnsi" w:hAnsiTheme="minorHAnsi" w:cstheme="minorHAnsi"/>
          <w:lang w:val="en-GB"/>
        </w:rPr>
        <w:fldChar w:fldCharType="begin"/>
      </w:r>
      <w:r w:rsidRPr="00F934E4">
        <w:rPr>
          <w:rFonts w:asciiTheme="minorHAnsi" w:hAnsiTheme="minorHAnsi" w:cstheme="minorHAnsi"/>
          <w:lang w:val="en-GB"/>
        </w:rPr>
        <w:instrText xml:space="preserve"> REF _Ref96604137 \h  \* MERGEFORMAT </w:instrText>
      </w:r>
      <w:r w:rsidRPr="00F934E4">
        <w:rPr>
          <w:rFonts w:asciiTheme="minorHAnsi" w:hAnsiTheme="minorHAnsi" w:cstheme="minorHAnsi"/>
          <w:lang w:val="en-GB"/>
        </w:rPr>
      </w:r>
      <w:r w:rsidRPr="00F934E4">
        <w:rPr>
          <w:rFonts w:asciiTheme="minorHAnsi" w:hAnsiTheme="minorHAnsi" w:cstheme="minorHAnsi"/>
          <w:lang w:val="en-GB"/>
        </w:rPr>
        <w:fldChar w:fldCharType="separate"/>
      </w:r>
      <w:r w:rsidRPr="00F934E4">
        <w:rPr>
          <w:rFonts w:asciiTheme="minorHAnsi" w:hAnsiTheme="minorHAnsi" w:cstheme="minorHAnsi"/>
          <w:b/>
          <w:color w:val="007AAE"/>
          <w:lang w:val="en-GB"/>
        </w:rPr>
        <w:t xml:space="preserve">Figure </w:t>
      </w:r>
      <w:r w:rsidRPr="00F934E4">
        <w:rPr>
          <w:rFonts w:asciiTheme="minorHAnsi" w:hAnsiTheme="minorHAnsi" w:cstheme="minorHAnsi"/>
          <w:b/>
          <w:noProof/>
          <w:color w:val="007AAE"/>
          <w:lang w:val="en-GB"/>
        </w:rPr>
        <w:t>6</w:t>
      </w:r>
      <w:r w:rsidRPr="00F934E4">
        <w:rPr>
          <w:rFonts w:asciiTheme="minorHAnsi" w:hAnsiTheme="minorHAnsi" w:cstheme="minorHAnsi"/>
          <w:lang w:val="en-GB"/>
        </w:rPr>
        <w:fldChar w:fldCharType="end"/>
      </w:r>
      <w:r w:rsidRPr="00F934E4">
        <w:rPr>
          <w:rFonts w:asciiTheme="minorHAnsi" w:hAnsiTheme="minorHAnsi" w:cstheme="minorHAnsi"/>
          <w:lang w:val="en-GB"/>
        </w:rPr>
        <w:t xml:space="preserve"> shows a predominance of Maximum Operating Pressure of 65 bar and higher </w:t>
      </w:r>
      <w:r w:rsidRPr="00F934E4">
        <w:rPr>
          <w:rFonts w:asciiTheme="minorHAnsi" w:hAnsiTheme="minorHAnsi" w:cstheme="minorHAnsi"/>
          <w:lang w:val="en-GB"/>
        </w:rPr>
        <w:lastRenderedPageBreak/>
        <w:t>according to EGIG</w:t>
      </w:r>
      <w:r w:rsidRPr="00F151FD">
        <w:rPr>
          <w:rStyle w:val="FootnoteReference"/>
        </w:rPr>
        <w:footnoteReference w:id="3"/>
      </w:r>
      <w:r w:rsidRPr="00F934E4">
        <w:rPr>
          <w:rFonts w:asciiTheme="minorHAnsi" w:hAnsiTheme="minorHAnsi" w:cstheme="minorHAnsi"/>
          <w:lang w:val="en-GB"/>
        </w:rPr>
        <w:t xml:space="preserve"> data </w:t>
      </w:r>
      <w:r w:rsidRPr="00F934E4">
        <w:rPr>
          <w:rFonts w:asciiTheme="minorHAnsi" w:hAnsiTheme="minorHAnsi" w:cstheme="minorHAnsi"/>
          <w:b/>
          <w:bCs/>
          <w:color w:val="007AAE"/>
          <w:lang w:val="en-GB"/>
        </w:rPr>
        <w:fldChar w:fldCharType="begin"/>
      </w:r>
      <w:r w:rsidRPr="00F934E4">
        <w:rPr>
          <w:rFonts w:asciiTheme="minorHAnsi" w:hAnsiTheme="minorHAnsi" w:cstheme="minorHAnsi"/>
          <w:b/>
          <w:bCs/>
          <w:color w:val="007AAE"/>
          <w:lang w:val="en-GB"/>
        </w:rPr>
        <w:instrText xml:space="preserve"> REF _Ref96608610 \r \h  \* MERGEFORMAT </w:instrText>
      </w:r>
      <w:r w:rsidRPr="00F934E4">
        <w:rPr>
          <w:rFonts w:asciiTheme="minorHAnsi" w:hAnsiTheme="minorHAnsi" w:cstheme="minorHAnsi"/>
          <w:b/>
          <w:bCs/>
          <w:color w:val="007AAE"/>
          <w:lang w:val="en-GB"/>
        </w:rPr>
      </w:r>
      <w:r w:rsidRPr="00F934E4">
        <w:rPr>
          <w:rFonts w:asciiTheme="minorHAnsi" w:hAnsiTheme="minorHAnsi" w:cstheme="minorHAnsi"/>
          <w:b/>
          <w:bCs/>
          <w:color w:val="007AAE"/>
          <w:lang w:val="en-GB"/>
        </w:rPr>
        <w:fldChar w:fldCharType="separate"/>
      </w:r>
      <w:r w:rsidRPr="00F934E4">
        <w:rPr>
          <w:rFonts w:asciiTheme="minorHAnsi" w:hAnsiTheme="minorHAnsi" w:cstheme="minorHAnsi"/>
          <w:b/>
          <w:bCs/>
          <w:color w:val="007AAE"/>
          <w:lang w:val="en-GB"/>
        </w:rPr>
        <w:t>[15]</w:t>
      </w:r>
      <w:r w:rsidRPr="00F934E4">
        <w:rPr>
          <w:rFonts w:asciiTheme="minorHAnsi" w:hAnsiTheme="minorHAnsi" w:cstheme="minorHAnsi"/>
          <w:b/>
          <w:bCs/>
          <w:color w:val="007AAE"/>
          <w:lang w:val="en-GB"/>
        </w:rPr>
        <w:fldChar w:fldCharType="end"/>
      </w:r>
      <w:r w:rsidRPr="00F934E4">
        <w:rPr>
          <w:rFonts w:asciiTheme="minorHAnsi" w:hAnsiTheme="minorHAnsi" w:cstheme="minorHAnsi"/>
          <w:lang w:val="en-GB"/>
        </w:rPr>
        <w:t>. Transmission pipelines are operated typically between 50-80 bar.</w:t>
      </w:r>
    </w:p>
    <w:p w14:paraId="0E08E69E" w14:textId="77777777" w:rsidR="00DF47A0" w:rsidRPr="00F934E4" w:rsidRDefault="00DF47A0" w:rsidP="00F668C6">
      <w:pPr>
        <w:pStyle w:val="ListParagraph"/>
        <w:numPr>
          <w:ilvl w:val="0"/>
          <w:numId w:val="8"/>
        </w:numPr>
        <w:spacing w:before="60" w:line="276" w:lineRule="auto"/>
        <w:ind w:left="1491" w:hanging="357"/>
        <w:contextualSpacing w:val="0"/>
        <w:jc w:val="both"/>
        <w:rPr>
          <w:rFonts w:asciiTheme="minorHAnsi" w:hAnsiTheme="minorHAnsi" w:cstheme="minorHAnsi"/>
          <w:lang w:val="en-GB"/>
        </w:rPr>
      </w:pPr>
      <w:r w:rsidRPr="006D0B1F">
        <w:rPr>
          <w:rFonts w:asciiTheme="minorHAnsi" w:hAnsiTheme="minorHAnsi" w:cstheme="minorHAnsi"/>
          <w:b/>
          <w:bCs/>
          <w:lang w:val="en-GB"/>
        </w:rPr>
        <w:t>Distribution:</w:t>
      </w:r>
      <w:r w:rsidRPr="00F934E4">
        <w:rPr>
          <w:rFonts w:asciiTheme="minorHAnsi" w:hAnsiTheme="minorHAnsi" w:cstheme="minorHAnsi"/>
          <w:lang w:val="en-GB"/>
        </w:rPr>
        <w:t xml:space="preserve"> Pipeline system including piping above and below ground and all other equipment necessary to supply the gas to the consumers </w:t>
      </w:r>
      <w:r w:rsidRPr="00F934E4">
        <w:rPr>
          <w:rFonts w:asciiTheme="minorHAnsi" w:hAnsiTheme="minorHAnsi" w:cstheme="minorHAnsi"/>
          <w:b/>
          <w:bCs/>
          <w:color w:val="007AAE"/>
          <w:lang w:val="en-GB"/>
        </w:rPr>
        <w:fldChar w:fldCharType="begin"/>
      </w:r>
      <w:r w:rsidRPr="00F934E4">
        <w:rPr>
          <w:rFonts w:asciiTheme="minorHAnsi" w:hAnsiTheme="minorHAnsi" w:cstheme="minorHAnsi"/>
          <w:b/>
          <w:bCs/>
          <w:color w:val="007AAE"/>
          <w:lang w:val="en-GB"/>
        </w:rPr>
        <w:instrText xml:space="preserve"> REF _Ref96602767 \r \h  \* MERGEFORMAT </w:instrText>
      </w:r>
      <w:r w:rsidRPr="00F934E4">
        <w:rPr>
          <w:rFonts w:asciiTheme="minorHAnsi" w:hAnsiTheme="minorHAnsi" w:cstheme="minorHAnsi"/>
          <w:b/>
          <w:bCs/>
          <w:color w:val="007AAE"/>
          <w:lang w:val="en-GB"/>
        </w:rPr>
      </w:r>
      <w:r w:rsidRPr="00F934E4">
        <w:rPr>
          <w:rFonts w:asciiTheme="minorHAnsi" w:hAnsiTheme="minorHAnsi" w:cstheme="minorHAnsi"/>
          <w:b/>
          <w:bCs/>
          <w:color w:val="007AAE"/>
          <w:lang w:val="en-GB"/>
        </w:rPr>
        <w:fldChar w:fldCharType="separate"/>
      </w:r>
      <w:r w:rsidRPr="00F934E4">
        <w:rPr>
          <w:rFonts w:asciiTheme="minorHAnsi" w:hAnsiTheme="minorHAnsi" w:cstheme="minorHAnsi"/>
          <w:b/>
          <w:bCs/>
          <w:color w:val="007AAE"/>
          <w:lang w:val="en-GB"/>
        </w:rPr>
        <w:t>[14]</w:t>
      </w:r>
      <w:r w:rsidRPr="00F934E4">
        <w:rPr>
          <w:rFonts w:asciiTheme="minorHAnsi" w:hAnsiTheme="minorHAnsi" w:cstheme="minorHAnsi"/>
          <w:b/>
          <w:bCs/>
          <w:color w:val="007AAE"/>
          <w:lang w:val="en-GB"/>
        </w:rPr>
        <w:fldChar w:fldCharType="end"/>
      </w:r>
      <w:r w:rsidRPr="00F934E4">
        <w:rPr>
          <w:rFonts w:asciiTheme="minorHAnsi" w:hAnsiTheme="minorHAnsi" w:cstheme="minorHAnsi"/>
          <w:lang w:val="en-GB"/>
        </w:rPr>
        <w:t xml:space="preserve">. European Standard EN 12007-1 </w:t>
      </w:r>
      <w:r w:rsidRPr="00F934E4">
        <w:rPr>
          <w:rFonts w:asciiTheme="minorHAnsi" w:hAnsiTheme="minorHAnsi" w:cstheme="minorHAnsi"/>
          <w:b/>
          <w:bCs/>
          <w:color w:val="007AAE"/>
          <w:lang w:val="en-GB"/>
        </w:rPr>
        <w:fldChar w:fldCharType="begin"/>
      </w:r>
      <w:r w:rsidRPr="00F934E4">
        <w:rPr>
          <w:rFonts w:asciiTheme="minorHAnsi" w:hAnsiTheme="minorHAnsi" w:cstheme="minorHAnsi"/>
          <w:b/>
          <w:bCs/>
          <w:color w:val="007AAE"/>
          <w:lang w:val="en-GB"/>
        </w:rPr>
        <w:instrText xml:space="preserve"> REF _Ref97030695 \r \h  \* MERGEFORMAT </w:instrText>
      </w:r>
      <w:r w:rsidRPr="00F934E4">
        <w:rPr>
          <w:rFonts w:asciiTheme="minorHAnsi" w:hAnsiTheme="minorHAnsi" w:cstheme="minorHAnsi"/>
          <w:b/>
          <w:bCs/>
          <w:color w:val="007AAE"/>
          <w:lang w:val="en-GB"/>
        </w:rPr>
      </w:r>
      <w:r w:rsidRPr="00F934E4">
        <w:rPr>
          <w:rFonts w:asciiTheme="minorHAnsi" w:hAnsiTheme="minorHAnsi" w:cstheme="minorHAnsi"/>
          <w:b/>
          <w:bCs/>
          <w:color w:val="007AAE"/>
          <w:lang w:val="en-GB"/>
        </w:rPr>
        <w:fldChar w:fldCharType="separate"/>
      </w:r>
      <w:r w:rsidRPr="00F934E4">
        <w:rPr>
          <w:rFonts w:asciiTheme="minorHAnsi" w:hAnsiTheme="minorHAnsi" w:cstheme="minorHAnsi"/>
          <w:b/>
          <w:bCs/>
          <w:color w:val="007AAE"/>
          <w:lang w:val="en-GB"/>
        </w:rPr>
        <w:t>[16]</w:t>
      </w:r>
      <w:r w:rsidRPr="00F934E4">
        <w:rPr>
          <w:rFonts w:asciiTheme="minorHAnsi" w:hAnsiTheme="minorHAnsi" w:cstheme="minorHAnsi"/>
          <w:b/>
          <w:bCs/>
          <w:color w:val="007AAE"/>
          <w:lang w:val="en-GB"/>
        </w:rPr>
        <w:fldChar w:fldCharType="end"/>
      </w:r>
      <w:r w:rsidRPr="00F934E4">
        <w:rPr>
          <w:rFonts w:asciiTheme="minorHAnsi" w:hAnsiTheme="minorHAnsi" w:cstheme="minorHAnsi"/>
          <w:lang w:val="en-GB"/>
        </w:rPr>
        <w:t xml:space="preserve"> describes the general functional requirements for pipelines up to the point of delivery and for buried sections of pipework after the point of delivery, for maximum operating pressures up to and including 16 bar for gaseous fuels.</w:t>
      </w:r>
    </w:p>
    <w:p w14:paraId="0683F878" w14:textId="77777777" w:rsidR="00DF47A0" w:rsidRPr="00F934E4" w:rsidRDefault="00DF47A0" w:rsidP="00F668C6">
      <w:pPr>
        <w:spacing w:line="276" w:lineRule="auto"/>
        <w:jc w:val="both"/>
        <w:rPr>
          <w:rFonts w:cstheme="minorHAnsi"/>
        </w:rPr>
      </w:pPr>
    </w:p>
    <w:p w14:paraId="0FDFC87F" w14:textId="77777777" w:rsidR="00DF47A0" w:rsidRPr="00F934E4" w:rsidRDefault="00DF47A0" w:rsidP="00F668C6">
      <w:pPr>
        <w:spacing w:line="276" w:lineRule="auto"/>
        <w:ind w:left="1134"/>
        <w:jc w:val="both"/>
        <w:rPr>
          <w:rFonts w:cstheme="minorHAnsi"/>
        </w:rPr>
      </w:pPr>
    </w:p>
    <w:p w14:paraId="171B6CC2" w14:textId="77777777" w:rsidR="00DF47A0" w:rsidRPr="00F934E4" w:rsidRDefault="00DF47A0" w:rsidP="00F668C6">
      <w:pPr>
        <w:keepNext/>
        <w:spacing w:line="276" w:lineRule="auto"/>
        <w:jc w:val="both"/>
        <w:rPr>
          <w:rFonts w:cstheme="minorHAnsi"/>
        </w:rPr>
      </w:pPr>
      <w:r w:rsidRPr="00F934E4">
        <w:rPr>
          <w:rFonts w:cstheme="minorHAnsi"/>
          <w:noProof/>
        </w:rPr>
        <w:drawing>
          <wp:inline distT="0" distB="0" distL="0" distR="0" wp14:anchorId="6BE534FA" wp14:editId="532E455E">
            <wp:extent cx="5400000" cy="265079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00" cy="2650797"/>
                    </a:xfrm>
                    <a:prstGeom prst="rect">
                      <a:avLst/>
                    </a:prstGeom>
                    <a:noFill/>
                  </pic:spPr>
                </pic:pic>
              </a:graphicData>
            </a:graphic>
          </wp:inline>
        </w:drawing>
      </w:r>
    </w:p>
    <w:p w14:paraId="1227FFEF" w14:textId="53E3D620" w:rsidR="00DF47A0" w:rsidRPr="00F934E4" w:rsidRDefault="00DF47A0" w:rsidP="00F668C6">
      <w:pPr>
        <w:spacing w:before="120" w:line="276" w:lineRule="auto"/>
        <w:ind w:left="2552" w:right="1134" w:hanging="1418"/>
        <w:jc w:val="both"/>
        <w:rPr>
          <w:rFonts w:cstheme="minorHAnsi"/>
          <w:sz w:val="18"/>
          <w:szCs w:val="18"/>
        </w:rPr>
      </w:pPr>
      <w:bookmarkStart w:id="30" w:name="_Ref96604137"/>
      <w:r w:rsidRPr="00F934E4">
        <w:rPr>
          <w:rFonts w:cstheme="minorHAnsi"/>
          <w:b/>
          <w:color w:val="007AAE"/>
          <w:sz w:val="18"/>
          <w:szCs w:val="18"/>
        </w:rPr>
        <w:t xml:space="preserve">Figure </w:t>
      </w:r>
      <w:r w:rsidRPr="00F934E4">
        <w:rPr>
          <w:rFonts w:cstheme="minorHAnsi"/>
          <w:b/>
          <w:color w:val="007AAE"/>
          <w:sz w:val="18"/>
          <w:szCs w:val="18"/>
        </w:rPr>
        <w:fldChar w:fldCharType="begin"/>
      </w:r>
      <w:r w:rsidRPr="00F934E4">
        <w:rPr>
          <w:rFonts w:cstheme="minorHAnsi"/>
          <w:b/>
          <w:color w:val="007AAE"/>
          <w:sz w:val="18"/>
          <w:szCs w:val="18"/>
        </w:rPr>
        <w:instrText xml:space="preserve"> SEQ Figure \* ARABIC </w:instrText>
      </w:r>
      <w:r w:rsidRPr="00F934E4">
        <w:rPr>
          <w:rFonts w:cstheme="minorHAnsi"/>
          <w:b/>
          <w:color w:val="007AAE"/>
          <w:sz w:val="18"/>
          <w:szCs w:val="18"/>
        </w:rPr>
        <w:fldChar w:fldCharType="separate"/>
      </w:r>
      <w:r w:rsidR="00EF1E54">
        <w:rPr>
          <w:rFonts w:cstheme="minorHAnsi"/>
          <w:b/>
          <w:noProof/>
          <w:color w:val="007AAE"/>
          <w:sz w:val="18"/>
          <w:szCs w:val="18"/>
        </w:rPr>
        <w:t>6</w:t>
      </w:r>
      <w:r w:rsidRPr="00F934E4">
        <w:rPr>
          <w:rFonts w:cstheme="minorHAnsi"/>
          <w:b/>
          <w:color w:val="007AAE"/>
          <w:sz w:val="18"/>
          <w:szCs w:val="18"/>
        </w:rPr>
        <w:fldChar w:fldCharType="end"/>
      </w:r>
      <w:bookmarkEnd w:id="30"/>
      <w:r w:rsidRPr="00F934E4">
        <w:rPr>
          <w:rFonts w:cstheme="minorHAnsi"/>
          <w:bCs/>
          <w:sz w:val="18"/>
          <w:szCs w:val="18"/>
        </w:rPr>
        <w:t>.-</w:t>
      </w:r>
      <w:r w:rsidRPr="00F934E4">
        <w:rPr>
          <w:rFonts w:cstheme="minorHAnsi"/>
          <w:b/>
          <w:sz w:val="18"/>
          <w:szCs w:val="18"/>
        </w:rPr>
        <w:tab/>
      </w:r>
      <w:r w:rsidRPr="00F934E4">
        <w:rPr>
          <w:rFonts w:cstheme="minorHAnsi"/>
          <w:sz w:val="18"/>
          <w:szCs w:val="18"/>
        </w:rPr>
        <w:t xml:space="preserve">Total </w:t>
      </w:r>
      <w:r w:rsidR="00EF28A6">
        <w:rPr>
          <w:rFonts w:cstheme="minorHAnsi"/>
          <w:sz w:val="18"/>
          <w:szCs w:val="18"/>
        </w:rPr>
        <w:t xml:space="preserve">natural </w:t>
      </w:r>
      <w:r w:rsidR="00F51C3E">
        <w:rPr>
          <w:rFonts w:cstheme="minorHAnsi"/>
          <w:sz w:val="18"/>
          <w:szCs w:val="18"/>
        </w:rPr>
        <w:t>gas network</w:t>
      </w:r>
      <w:r w:rsidR="00C32173">
        <w:rPr>
          <w:rFonts w:cstheme="minorHAnsi"/>
          <w:sz w:val="18"/>
          <w:szCs w:val="18"/>
        </w:rPr>
        <w:t xml:space="preserve"> pipelines</w:t>
      </w:r>
      <w:r w:rsidR="00F51C3E">
        <w:rPr>
          <w:rFonts w:cstheme="minorHAnsi"/>
          <w:sz w:val="18"/>
          <w:szCs w:val="18"/>
        </w:rPr>
        <w:t xml:space="preserve"> </w:t>
      </w:r>
      <w:r w:rsidRPr="00F934E4">
        <w:rPr>
          <w:rFonts w:cstheme="minorHAnsi"/>
          <w:sz w:val="18"/>
          <w:szCs w:val="18"/>
        </w:rPr>
        <w:t xml:space="preserve">length </w:t>
      </w:r>
      <w:r w:rsidR="006D0B1F">
        <w:rPr>
          <w:rFonts w:cstheme="minorHAnsi"/>
          <w:sz w:val="18"/>
          <w:szCs w:val="18"/>
        </w:rPr>
        <w:t>against</w:t>
      </w:r>
      <w:r w:rsidRPr="00F934E4">
        <w:rPr>
          <w:rFonts w:cstheme="minorHAnsi"/>
          <w:sz w:val="18"/>
          <w:szCs w:val="18"/>
        </w:rPr>
        <w:t xml:space="preserve"> Maximum Operating Pressure </w:t>
      </w:r>
      <w:r w:rsidR="006D0B1F">
        <w:rPr>
          <w:rFonts w:cstheme="minorHAnsi"/>
          <w:sz w:val="18"/>
          <w:szCs w:val="18"/>
        </w:rPr>
        <w:t>for</w:t>
      </w:r>
      <w:r w:rsidRPr="00F934E4">
        <w:rPr>
          <w:rFonts w:cstheme="minorHAnsi"/>
          <w:sz w:val="18"/>
          <w:szCs w:val="18"/>
        </w:rPr>
        <w:t xml:space="preserve"> EGIG participating companies. </w:t>
      </w:r>
      <w:r w:rsidRPr="00F934E4">
        <w:rPr>
          <w:rFonts w:cstheme="minorHAnsi"/>
          <w:b/>
          <w:bCs/>
          <w:color w:val="007AAE"/>
          <w:sz w:val="18"/>
          <w:szCs w:val="18"/>
        </w:rPr>
        <w:fldChar w:fldCharType="begin"/>
      </w:r>
      <w:r w:rsidRPr="00F934E4">
        <w:rPr>
          <w:rFonts w:cstheme="minorHAnsi"/>
          <w:b/>
          <w:bCs/>
          <w:color w:val="007AAE"/>
          <w:sz w:val="18"/>
          <w:szCs w:val="18"/>
        </w:rPr>
        <w:instrText xml:space="preserve"> REF _Ref96608610 \r \h  \* MERGEFORMAT </w:instrText>
      </w:r>
      <w:r w:rsidRPr="00F934E4">
        <w:rPr>
          <w:rFonts w:cstheme="minorHAnsi"/>
          <w:b/>
          <w:bCs/>
          <w:color w:val="007AAE"/>
          <w:sz w:val="18"/>
          <w:szCs w:val="18"/>
        </w:rPr>
      </w:r>
      <w:r w:rsidRPr="00F934E4">
        <w:rPr>
          <w:rFonts w:cstheme="minorHAnsi"/>
          <w:b/>
          <w:bCs/>
          <w:color w:val="007AAE"/>
          <w:sz w:val="18"/>
          <w:szCs w:val="18"/>
        </w:rPr>
        <w:fldChar w:fldCharType="separate"/>
      </w:r>
      <w:r w:rsidRPr="00F934E4">
        <w:rPr>
          <w:rFonts w:cstheme="minorHAnsi"/>
          <w:b/>
          <w:bCs/>
          <w:color w:val="007AAE"/>
          <w:sz w:val="18"/>
          <w:szCs w:val="18"/>
        </w:rPr>
        <w:t>[15]</w:t>
      </w:r>
      <w:r w:rsidRPr="00F934E4">
        <w:rPr>
          <w:rFonts w:cstheme="minorHAnsi"/>
          <w:b/>
          <w:bCs/>
          <w:color w:val="007AAE"/>
          <w:sz w:val="18"/>
          <w:szCs w:val="18"/>
        </w:rPr>
        <w:fldChar w:fldCharType="end"/>
      </w:r>
    </w:p>
    <w:p w14:paraId="258B6FE5" w14:textId="77777777" w:rsidR="00DF47A0" w:rsidRPr="00F934E4" w:rsidRDefault="00DF47A0" w:rsidP="00F668C6">
      <w:pPr>
        <w:spacing w:line="276" w:lineRule="auto"/>
        <w:jc w:val="both"/>
        <w:rPr>
          <w:rFonts w:cstheme="minorHAnsi"/>
        </w:rPr>
      </w:pPr>
      <w:r w:rsidRPr="00F934E4">
        <w:rPr>
          <w:rFonts w:cstheme="minorHAnsi"/>
        </w:rPr>
        <w:t xml:space="preserve">At the inlet connection of the gas appliances, for domestic, </w:t>
      </w:r>
      <w:proofErr w:type="gramStart"/>
      <w:r w:rsidRPr="00F934E4">
        <w:rPr>
          <w:rFonts w:cstheme="minorHAnsi"/>
        </w:rPr>
        <w:t>commercial</w:t>
      </w:r>
      <w:proofErr w:type="gramEnd"/>
      <w:r w:rsidRPr="00F934E4">
        <w:rPr>
          <w:rFonts w:cstheme="minorHAnsi"/>
        </w:rPr>
        <w:t xml:space="preserve"> or industrial purposes, a general pressure can be established in the range of 20-25 mbar </w:t>
      </w:r>
      <w:r w:rsidRPr="00F934E4">
        <w:rPr>
          <w:rFonts w:cstheme="minorHAnsi"/>
          <w:b/>
          <w:bCs/>
          <w:color w:val="007AAE"/>
        </w:rPr>
        <w:fldChar w:fldCharType="begin"/>
      </w:r>
      <w:r w:rsidRPr="00F934E4">
        <w:rPr>
          <w:rFonts w:cstheme="minorHAnsi"/>
          <w:b/>
          <w:bCs/>
          <w:color w:val="007AAE"/>
        </w:rPr>
        <w:instrText xml:space="preserve"> REF _Ref96938177 \r \h  \* MERGEFORMAT </w:instrText>
      </w:r>
      <w:r w:rsidRPr="00F934E4">
        <w:rPr>
          <w:rFonts w:cstheme="minorHAnsi"/>
          <w:b/>
          <w:bCs/>
          <w:color w:val="007AAE"/>
        </w:rPr>
      </w:r>
      <w:r w:rsidRPr="00F934E4">
        <w:rPr>
          <w:rFonts w:cstheme="minorHAnsi"/>
          <w:b/>
          <w:bCs/>
          <w:color w:val="007AAE"/>
        </w:rPr>
        <w:fldChar w:fldCharType="separate"/>
      </w:r>
      <w:r w:rsidRPr="00F934E4">
        <w:rPr>
          <w:rFonts w:cstheme="minorHAnsi"/>
          <w:b/>
          <w:bCs/>
          <w:color w:val="007AAE"/>
        </w:rPr>
        <w:t>[17]</w:t>
      </w:r>
      <w:r w:rsidRPr="00F934E4">
        <w:rPr>
          <w:rFonts w:cstheme="minorHAnsi"/>
          <w:b/>
          <w:bCs/>
          <w:color w:val="007AAE"/>
        </w:rPr>
        <w:fldChar w:fldCharType="end"/>
      </w:r>
      <w:r w:rsidRPr="00F934E4">
        <w:rPr>
          <w:rFonts w:cstheme="minorHAnsi"/>
        </w:rPr>
        <w:t>.</w:t>
      </w:r>
    </w:p>
    <w:p w14:paraId="32E3E56C" w14:textId="77777777" w:rsidR="00DF47A0" w:rsidRPr="00F934E4" w:rsidRDefault="00DF47A0" w:rsidP="00F668C6">
      <w:pPr>
        <w:spacing w:line="276" w:lineRule="auto"/>
        <w:jc w:val="both"/>
        <w:rPr>
          <w:rFonts w:cstheme="minorHAnsi"/>
        </w:rPr>
      </w:pPr>
      <w:r w:rsidRPr="00F934E4">
        <w:rPr>
          <w:rFonts w:cstheme="minorHAnsi"/>
        </w:rPr>
        <w:t xml:space="preserve">Hydrogen has different properties than natural gas that must be considered when designing or repurposing a pipeline network. At high pressures, hydrogen can over time cause localized embrittlement when in contact with bare steel. Minimizing fluctuations in operating pressure can also prevent hydrogen embrittlement. Hydrogen is also a smaller molecule than methane and is more prone to leakage and permeation. Hence, repurposing existing natural gas pipelines into dedicated hydrogen pipelines requires integrity assessments to be conducted concerning the potential presence of crack-like defects and tightness-related modifications of valves and fittings. Depending on the state of the existing infrastructure, repurposed pipelines may need to be operated at lower pressures to ensure compliance with current engineering codes. </w:t>
      </w:r>
    </w:p>
    <w:p w14:paraId="635B4C80" w14:textId="77777777" w:rsidR="00DF47A0" w:rsidRDefault="00DF47A0" w:rsidP="00F668C6">
      <w:pPr>
        <w:spacing w:line="276" w:lineRule="auto"/>
        <w:jc w:val="both"/>
      </w:pPr>
      <w:r w:rsidRPr="00F934E4">
        <w:rPr>
          <w:rFonts w:cstheme="minorHAnsi"/>
        </w:rPr>
        <w:t>Furthermore, different driver and compressor designs will likely be required for hydrogen, meaning existing compressors cannot be repurposed. Hydrogen’s low molecular weight would demand most existing centrifugal compressors to rotate three times faster to achieve the same compression level. Repurposing natural gas</w:t>
      </w:r>
      <w:r w:rsidRPr="00CE581B">
        <w:t xml:space="preserve"> infrastructure for use with</w:t>
      </w:r>
      <w:r>
        <w:t xml:space="preserve"> </w:t>
      </w:r>
      <w:r w:rsidRPr="00CE581B">
        <w:t>hydrogen is technically feasible at a modest cost compared to the construction of</w:t>
      </w:r>
      <w:r>
        <w:t xml:space="preserve"> </w:t>
      </w:r>
      <w:r w:rsidRPr="00CE581B">
        <w:t>new pipelines.</w:t>
      </w:r>
    </w:p>
    <w:p w14:paraId="58C240B8" w14:textId="77777777" w:rsidR="00DF47A0" w:rsidRDefault="00DF47A0" w:rsidP="00F668C6">
      <w:pPr>
        <w:spacing w:line="276" w:lineRule="auto"/>
        <w:jc w:val="both"/>
      </w:pPr>
      <w:r>
        <w:t xml:space="preserve">Pressure drop also </w:t>
      </w:r>
      <w:proofErr w:type="gramStart"/>
      <w:r>
        <w:t>has to</w:t>
      </w:r>
      <w:proofErr w:type="gramEnd"/>
      <w:r>
        <w:t xml:space="preserve"> be taken into account. W</w:t>
      </w:r>
      <w:r w:rsidRPr="00927459">
        <w:t>hen hydrogen is blended into natural</w:t>
      </w:r>
      <w:r>
        <w:t xml:space="preserve"> </w:t>
      </w:r>
      <w:r w:rsidRPr="00927459">
        <w:t>gas</w:t>
      </w:r>
      <w:r>
        <w:t>,</w:t>
      </w:r>
      <w:r w:rsidRPr="00927459">
        <w:t xml:space="preserve"> and the volume flow in the respective pipeline</w:t>
      </w:r>
      <w:r>
        <w:t xml:space="preserve"> </w:t>
      </w:r>
      <w:r w:rsidRPr="00927459">
        <w:t>remains constant, the pressure drop decreases</w:t>
      </w:r>
      <w:r>
        <w:t xml:space="preserve"> </w:t>
      </w:r>
      <w:r w:rsidRPr="00927459">
        <w:t>due to the compressibility of H</w:t>
      </w:r>
      <w:r w:rsidRPr="00927459">
        <w:rPr>
          <w:vertAlign w:val="subscript"/>
        </w:rPr>
        <w:t>2</w:t>
      </w:r>
      <w:r w:rsidRPr="00927459">
        <w:t xml:space="preserve">, </w:t>
      </w:r>
      <w:r w:rsidRPr="00927459">
        <w:lastRenderedPageBreak/>
        <w:t>but less energy is</w:t>
      </w:r>
      <w:r>
        <w:t xml:space="preserve"> </w:t>
      </w:r>
      <w:r w:rsidRPr="00927459">
        <w:t>transported due to the volumetric energy density</w:t>
      </w:r>
      <w:r>
        <w:t xml:space="preserve"> </w:t>
      </w:r>
      <w:r w:rsidRPr="00927459">
        <w:t>of H</w:t>
      </w:r>
      <w:r w:rsidRPr="00927459">
        <w:rPr>
          <w:vertAlign w:val="subscript"/>
        </w:rPr>
        <w:t>2</w:t>
      </w:r>
      <w:r w:rsidRPr="00927459">
        <w:t xml:space="preserve">. </w:t>
      </w:r>
      <w:r>
        <w:t>However, increasing the volumetric flow rate to transport the same energy</w:t>
      </w:r>
      <w:r w:rsidRPr="00927459">
        <w:t xml:space="preserve"> leads to</w:t>
      </w:r>
      <w:r>
        <w:t xml:space="preserve"> </w:t>
      </w:r>
      <w:r w:rsidRPr="00927459">
        <w:t>higher pressure losses along the pipeline</w:t>
      </w:r>
      <w:r>
        <w:t>. T</w:t>
      </w:r>
      <w:r w:rsidRPr="00927459">
        <w:t>he</w:t>
      </w:r>
      <w:r>
        <w:t xml:space="preserve"> higher </w:t>
      </w:r>
      <w:r w:rsidRPr="00927459">
        <w:t xml:space="preserve">friction from increased volume flow has a </w:t>
      </w:r>
      <w:r>
        <w:t xml:space="preserve">more significant </w:t>
      </w:r>
      <w:r w:rsidRPr="00927459">
        <w:t xml:space="preserve">effect </w:t>
      </w:r>
      <w:r>
        <w:t>than</w:t>
      </w:r>
      <w:r w:rsidRPr="00927459">
        <w:t xml:space="preserve"> the decreasing effect on</w:t>
      </w:r>
      <w:r>
        <w:t xml:space="preserve"> </w:t>
      </w:r>
      <w:r w:rsidRPr="00927459">
        <w:t>compressibility.</w:t>
      </w:r>
    </w:p>
    <w:p w14:paraId="5D9BB3FB" w14:textId="57D2FE40" w:rsidR="00DF47A0" w:rsidRDefault="004C7736" w:rsidP="004C7736">
      <w:pPr>
        <w:pStyle w:val="Heading3"/>
      </w:pPr>
      <w:bookmarkStart w:id="31" w:name="_Toc121830938"/>
      <w:r>
        <w:t xml:space="preserve">3.2.2 </w:t>
      </w:r>
      <w:r w:rsidR="00DF47A0" w:rsidRPr="00DF47A0">
        <w:t>FLOW RATE</w:t>
      </w:r>
      <w:bookmarkEnd w:id="31"/>
    </w:p>
    <w:p w14:paraId="49BEAEDF" w14:textId="3655983A" w:rsidR="00DF47A0" w:rsidRDefault="00D403D6" w:rsidP="00F668C6">
      <w:pPr>
        <w:spacing w:line="276" w:lineRule="auto"/>
        <w:jc w:val="both"/>
      </w:pPr>
      <w:r>
        <w:t>O</w:t>
      </w:r>
      <w:r w:rsidR="00DF47A0" w:rsidRPr="008D56E9">
        <w:t>ne of the main questions from a hydrogen transport point of view concerns the maximum allowable flow velocity under which risks related to asset and pipeline integrity are manageable and acceptable</w:t>
      </w:r>
      <w:r w:rsidR="00DF47A0">
        <w:t xml:space="preserve">. </w:t>
      </w:r>
      <w:r>
        <w:t>E</w:t>
      </w:r>
      <w:r w:rsidR="00DF47A0" w:rsidRPr="008D56E9">
        <w:t>nergy transport capacity increases with higher pressures and higher flow velocities</w:t>
      </w:r>
      <w:r>
        <w:t xml:space="preserve"> (</w:t>
      </w:r>
      <w:proofErr w:type="gramStart"/>
      <w:r>
        <w:t>i.e.</w:t>
      </w:r>
      <w:proofErr w:type="gramEnd"/>
      <w:r>
        <w:t xml:space="preserve"> higher mass flow rate</w:t>
      </w:r>
      <w:r w:rsidR="003473A7">
        <w:t>s</w:t>
      </w:r>
      <w:r>
        <w:t>)</w:t>
      </w:r>
      <w:r w:rsidR="00DF47A0" w:rsidRPr="008D56E9">
        <w:t xml:space="preserve">. </w:t>
      </w:r>
      <w:r w:rsidR="00DF47A0">
        <w:t>A</w:t>
      </w:r>
      <w:r w:rsidR="00DF47A0" w:rsidRPr="008D56E9">
        <w:t xml:space="preserve"> traditional limit of 20 m/s </w:t>
      </w:r>
      <w:r w:rsidR="00DF47A0">
        <w:t xml:space="preserve">(72 km/h) </w:t>
      </w:r>
      <w:r w:rsidR="00DF47A0" w:rsidRPr="008D56E9">
        <w:t xml:space="preserve">for the flow velocity is used in the natural gas </w:t>
      </w:r>
      <w:r w:rsidR="00DF47A0">
        <w:t>grid, al</w:t>
      </w:r>
      <w:r w:rsidR="00DF47A0" w:rsidRPr="008D56E9">
        <w:t>though deviations from this are also possible. In large transmission pipelines</w:t>
      </w:r>
      <w:r w:rsidR="00DF47A0">
        <w:t>, the flow velocity usually is</w:t>
      </w:r>
      <w:r w:rsidR="00DF47A0" w:rsidRPr="008D56E9">
        <w:t xml:space="preserve"> lower</w:t>
      </w:r>
      <w:r w:rsidR="00DF47A0">
        <w:t>.</w:t>
      </w:r>
      <w:r w:rsidR="00DF47A0" w:rsidRPr="008D56E9">
        <w:t xml:space="preserve"> This limit </w:t>
      </w:r>
      <w:r w:rsidR="00ED0358" w:rsidRPr="008D56E9">
        <w:t>ensures</w:t>
      </w:r>
      <w:r w:rsidR="00DF47A0" w:rsidRPr="008D56E9">
        <w:t xml:space="preserve"> that integrity risks due to flow-induced vibration is minimized and remains at manageable levels further mitigated with engineering solutions.</w:t>
      </w:r>
    </w:p>
    <w:p w14:paraId="5B34CCDA" w14:textId="372B229D" w:rsidR="00DF47A0" w:rsidRDefault="009078E1" w:rsidP="00F668C6">
      <w:pPr>
        <w:spacing w:line="276" w:lineRule="auto"/>
        <w:jc w:val="both"/>
      </w:pPr>
      <w:r>
        <w:t>Applying</w:t>
      </w:r>
      <w:r w:rsidR="00DF47A0" w:rsidRPr="008D56E9">
        <w:t xml:space="preserve"> the same </w:t>
      </w:r>
      <w:r>
        <w:t xml:space="preserve">20 m/s </w:t>
      </w:r>
      <w:r w:rsidR="00DF47A0" w:rsidRPr="008D56E9">
        <w:t xml:space="preserve">limit to </w:t>
      </w:r>
      <w:r w:rsidR="003A66D4">
        <w:t xml:space="preserve">pure </w:t>
      </w:r>
      <w:r w:rsidR="00DF47A0" w:rsidRPr="008D56E9">
        <w:t xml:space="preserve">hydrogen may be </w:t>
      </w:r>
      <w:r>
        <w:t>too</w:t>
      </w:r>
      <w:r w:rsidR="00DF47A0" w:rsidRPr="008D56E9">
        <w:t xml:space="preserve"> conservative</w:t>
      </w:r>
      <w:r w:rsidR="00C25BEE">
        <w:t>,</w:t>
      </w:r>
      <w:r w:rsidR="00DF47A0" w:rsidRPr="008D56E9">
        <w:t xml:space="preserve"> constrain</w:t>
      </w:r>
      <w:r>
        <w:t>ing</w:t>
      </w:r>
      <w:r w:rsidR="00DF47A0" w:rsidRPr="008D56E9">
        <w:t xml:space="preserve"> the </w:t>
      </w:r>
      <w:r>
        <w:t xml:space="preserve">energy transport </w:t>
      </w:r>
      <w:r w:rsidR="00DF47A0" w:rsidRPr="008D56E9">
        <w:t>capacity of new</w:t>
      </w:r>
      <w:r w:rsidR="00FA3D47">
        <w:t xml:space="preserve"> </w:t>
      </w:r>
      <w:r w:rsidR="00DF47A0" w:rsidRPr="008D56E9">
        <w:t xml:space="preserve">and re-used systems. </w:t>
      </w:r>
      <w:r w:rsidR="00FA3D47">
        <w:t>For</w:t>
      </w:r>
      <w:r w:rsidR="00DF47A0" w:rsidRPr="008D56E9">
        <w:t xml:space="preserve"> natural gas </w:t>
      </w:r>
      <w:r w:rsidR="00FA3D47" w:rsidRPr="008D56E9">
        <w:t>transport</w:t>
      </w:r>
      <w:r w:rsidR="00DF47A0" w:rsidRPr="008D56E9">
        <w:t xml:space="preserve"> 20 m/s is a rule of thumb for the maximum flow velocity</w:t>
      </w:r>
      <w:r w:rsidR="00FA3D47">
        <w:t xml:space="preserve"> and</w:t>
      </w:r>
      <w:r w:rsidR="00DF47A0" w:rsidRPr="008D56E9">
        <w:t xml:space="preserve"> 60 m/s could be </w:t>
      </w:r>
      <w:r w:rsidR="00C25BEE">
        <w:t>a</w:t>
      </w:r>
      <w:r w:rsidR="00060B64">
        <w:t xml:space="preserve"> </w:t>
      </w:r>
      <w:r w:rsidR="003A66D4">
        <w:t xml:space="preserve">possible </w:t>
      </w:r>
      <w:r w:rsidR="00060B64">
        <w:t>suitable</w:t>
      </w:r>
      <w:r w:rsidR="00C25BEE">
        <w:t xml:space="preserve"> approximated figure</w:t>
      </w:r>
      <w:r w:rsidR="00DF47A0">
        <w:t xml:space="preserve"> </w:t>
      </w:r>
      <w:r w:rsidR="00DF47A0" w:rsidRPr="008D56E9">
        <w:t>for</w:t>
      </w:r>
      <w:r w:rsidR="003A66D4">
        <w:t xml:space="preserve"> pure</w:t>
      </w:r>
      <w:r w:rsidR="00DF47A0" w:rsidRPr="008D56E9">
        <w:t xml:space="preserve"> hydrogen. </w:t>
      </w:r>
      <w:r w:rsidR="00060B64">
        <w:t>However, t</w:t>
      </w:r>
      <w:r w:rsidR="00DF47A0" w:rsidRPr="008D56E9">
        <w:t xml:space="preserve">o achieve </w:t>
      </w:r>
      <w:r w:rsidR="003A66D4">
        <w:t>the Hydrogen</w:t>
      </w:r>
      <w:r w:rsidR="00DF47A0" w:rsidRPr="008D56E9">
        <w:t xml:space="preserve"> flow velocity required </w:t>
      </w:r>
      <w:r w:rsidR="00060B64">
        <w:t xml:space="preserve">to </w:t>
      </w:r>
      <w:r w:rsidR="003A66D4">
        <w:t xml:space="preserve">match the </w:t>
      </w:r>
      <w:r w:rsidR="00DF47A0" w:rsidRPr="008D56E9">
        <w:t xml:space="preserve">energy transport </w:t>
      </w:r>
      <w:r w:rsidR="003A66D4" w:rsidRPr="008D56E9">
        <w:t>capacity</w:t>
      </w:r>
      <w:r w:rsidR="003A66D4">
        <w:t xml:space="preserve"> </w:t>
      </w:r>
      <w:r w:rsidR="00FA3D47">
        <w:t>of</w:t>
      </w:r>
      <w:r w:rsidR="003A66D4">
        <w:t xml:space="preserve"> </w:t>
      </w:r>
      <w:r w:rsidR="00DF47A0" w:rsidRPr="008D56E9">
        <w:t xml:space="preserve">natural gas, </w:t>
      </w:r>
      <w:r w:rsidR="00060B64">
        <w:t>will require t</w:t>
      </w:r>
      <w:r w:rsidR="003A66D4">
        <w:t>wo</w:t>
      </w:r>
      <w:r w:rsidR="00060B64">
        <w:t xml:space="preserve"> main considerations</w:t>
      </w:r>
      <w:r w:rsidR="00DF47A0">
        <w:t xml:space="preserve"> </w:t>
      </w:r>
      <w:r w:rsidR="00DF47A0" w:rsidRPr="00CF6846">
        <w:rPr>
          <w:b/>
          <w:bCs/>
          <w:color w:val="007AAE"/>
        </w:rPr>
        <w:fldChar w:fldCharType="begin"/>
      </w:r>
      <w:r w:rsidR="00DF47A0" w:rsidRPr="00CF6846">
        <w:rPr>
          <w:b/>
          <w:bCs/>
          <w:color w:val="007AAE"/>
        </w:rPr>
        <w:instrText xml:space="preserve"> REF _Ref96687340 \r \h </w:instrText>
      </w:r>
      <w:r w:rsidR="00DF47A0">
        <w:rPr>
          <w:b/>
          <w:bCs/>
          <w:color w:val="007AAE"/>
        </w:rPr>
        <w:instrText xml:space="preserve"> \* MERGEFORMAT </w:instrText>
      </w:r>
      <w:r w:rsidR="00DF47A0" w:rsidRPr="00CF6846">
        <w:rPr>
          <w:b/>
          <w:bCs/>
          <w:color w:val="007AAE"/>
        </w:rPr>
      </w:r>
      <w:r w:rsidR="00DF47A0" w:rsidRPr="00CF6846">
        <w:rPr>
          <w:b/>
          <w:bCs/>
          <w:color w:val="007AAE"/>
        </w:rPr>
        <w:fldChar w:fldCharType="separate"/>
      </w:r>
      <w:r w:rsidR="00DF47A0">
        <w:rPr>
          <w:b/>
          <w:bCs/>
          <w:color w:val="007AAE"/>
        </w:rPr>
        <w:t>[18]</w:t>
      </w:r>
      <w:r w:rsidR="00DF47A0" w:rsidRPr="00CF6846">
        <w:rPr>
          <w:b/>
          <w:bCs/>
          <w:color w:val="007AAE"/>
        </w:rPr>
        <w:fldChar w:fldCharType="end"/>
      </w:r>
      <w:r w:rsidR="00DF47A0">
        <w:t>:</w:t>
      </w:r>
    </w:p>
    <w:p w14:paraId="13A3BD49" w14:textId="46F571DF" w:rsidR="00DF47A0" w:rsidRPr="00F934E4" w:rsidRDefault="00DF47A0" w:rsidP="00F668C6">
      <w:pPr>
        <w:pStyle w:val="ListParagraph"/>
        <w:numPr>
          <w:ilvl w:val="0"/>
          <w:numId w:val="9"/>
        </w:numPr>
        <w:spacing w:before="60" w:line="276" w:lineRule="auto"/>
        <w:ind w:left="1531" w:hanging="397"/>
        <w:contextualSpacing w:val="0"/>
        <w:jc w:val="both"/>
        <w:rPr>
          <w:rFonts w:asciiTheme="minorHAnsi" w:hAnsiTheme="minorHAnsi" w:cstheme="minorHAnsi"/>
          <w:lang w:val="en-GB"/>
        </w:rPr>
      </w:pPr>
      <w:r w:rsidRPr="00F934E4">
        <w:rPr>
          <w:rFonts w:asciiTheme="minorHAnsi" w:hAnsiTheme="minorHAnsi" w:cstheme="minorHAnsi"/>
          <w:lang w:val="en-GB"/>
        </w:rPr>
        <w:t xml:space="preserve">The first relates to </w:t>
      </w:r>
      <w:r w:rsidR="00060B64">
        <w:rPr>
          <w:rFonts w:asciiTheme="minorHAnsi" w:hAnsiTheme="minorHAnsi" w:cstheme="minorHAnsi"/>
          <w:lang w:val="en-GB"/>
        </w:rPr>
        <w:t xml:space="preserve">potential </w:t>
      </w:r>
      <w:r w:rsidRPr="00F934E4">
        <w:rPr>
          <w:rFonts w:asciiTheme="minorHAnsi" w:hAnsiTheme="minorHAnsi" w:cstheme="minorHAnsi"/>
          <w:lang w:val="en-GB"/>
        </w:rPr>
        <w:t>erosion. Gas transmission pipelines usually are very clean and free of potentially eroding agents such as sand. In the absence of eroding agents, internal erosion does not exist. However, in case of incidental ingress of eroding agents, the eroding potential of high-speed hydrogen flows is increased.</w:t>
      </w:r>
    </w:p>
    <w:p w14:paraId="0BA15730" w14:textId="57391B31" w:rsidR="00DF47A0" w:rsidRPr="00F934E4" w:rsidRDefault="00DF47A0" w:rsidP="00F668C6">
      <w:pPr>
        <w:pStyle w:val="ListParagraph"/>
        <w:numPr>
          <w:ilvl w:val="0"/>
          <w:numId w:val="9"/>
        </w:numPr>
        <w:spacing w:before="60" w:line="276" w:lineRule="auto"/>
        <w:ind w:left="1531" w:hanging="397"/>
        <w:contextualSpacing w:val="0"/>
        <w:jc w:val="both"/>
        <w:rPr>
          <w:rFonts w:asciiTheme="minorHAnsi" w:hAnsiTheme="minorHAnsi" w:cstheme="minorHAnsi"/>
          <w:lang w:val="en-GB"/>
        </w:rPr>
      </w:pPr>
      <w:r w:rsidRPr="00F934E4">
        <w:rPr>
          <w:rFonts w:asciiTheme="minorHAnsi" w:hAnsiTheme="minorHAnsi" w:cstheme="minorHAnsi"/>
          <w:lang w:val="en-GB"/>
        </w:rPr>
        <w:t>The second is linked to dynamics</w:t>
      </w:r>
      <w:r w:rsidR="00060B64">
        <w:rPr>
          <w:rFonts w:asciiTheme="minorHAnsi" w:hAnsiTheme="minorHAnsi" w:cstheme="minorHAnsi"/>
          <w:lang w:val="en-GB"/>
        </w:rPr>
        <w:t xml:space="preserve"> loads</w:t>
      </w:r>
      <w:r w:rsidRPr="00F934E4">
        <w:rPr>
          <w:rFonts w:asciiTheme="minorHAnsi" w:hAnsiTheme="minorHAnsi" w:cstheme="minorHAnsi"/>
          <w:lang w:val="en-GB"/>
        </w:rPr>
        <w:t xml:space="preserve"> at high frequencies. Even if hydrogen presents comparatively lower pulsation or radiated noise amplitudes than natural gas, it will do so at 3 times higher frequencies. Even for lower amplitudes, that may be more difficult to withstand from a mechanical vibration mitigation perspective. The same holds for noise, whereas in some cases, higher frequencies will render better blockage from the pipe or even move beyond (human) audible range; the opposite could also be true. The pipe may be more transparent and radiate more noise, possibly at frequencies to which human</w:t>
      </w:r>
      <w:r w:rsidR="00BF1C51">
        <w:rPr>
          <w:rFonts w:asciiTheme="minorHAnsi" w:hAnsiTheme="minorHAnsi" w:cstheme="minorHAnsi"/>
          <w:lang w:val="en-GB"/>
        </w:rPr>
        <w:t>s</w:t>
      </w:r>
      <w:r w:rsidRPr="00F934E4">
        <w:rPr>
          <w:rFonts w:asciiTheme="minorHAnsi" w:hAnsiTheme="minorHAnsi" w:cstheme="minorHAnsi"/>
          <w:lang w:val="en-GB"/>
        </w:rPr>
        <w:t xml:space="preserve"> are sensitive.</w:t>
      </w:r>
    </w:p>
    <w:p w14:paraId="3B89199C" w14:textId="77777777" w:rsidR="00BF1C51" w:rsidRDefault="00BF1C51" w:rsidP="00F668C6">
      <w:pPr>
        <w:spacing w:line="276" w:lineRule="auto"/>
        <w:jc w:val="both"/>
      </w:pPr>
    </w:p>
    <w:p w14:paraId="0FFB8539" w14:textId="1506B2B7" w:rsidR="00DF47A0" w:rsidRPr="00704117" w:rsidRDefault="00DF47A0" w:rsidP="00F668C6">
      <w:pPr>
        <w:spacing w:line="276" w:lineRule="auto"/>
        <w:jc w:val="both"/>
      </w:pPr>
      <w:r w:rsidRPr="00704117">
        <w:t xml:space="preserve">In </w:t>
      </w:r>
      <w:r>
        <w:t xml:space="preserve">the </w:t>
      </w:r>
      <w:r w:rsidRPr="00704117">
        <w:t>case of hydrogen blending into the gas grid</w:t>
      </w:r>
      <w:r>
        <w:t>,</w:t>
      </w:r>
      <w:r w:rsidRPr="00704117">
        <w:t xml:space="preserve"> an increase </w:t>
      </w:r>
      <w:r>
        <w:t>in</w:t>
      </w:r>
      <w:r w:rsidRPr="00704117">
        <w:t xml:space="preserve"> flow rate is required to maintain the same transported energy. Typically, a concentration of 20 </w:t>
      </w:r>
      <w:r>
        <w:t>vol</w:t>
      </w:r>
      <w:r w:rsidR="003A66D4">
        <w:t xml:space="preserve"> </w:t>
      </w:r>
      <w:r w:rsidRPr="00704117">
        <w:t>% of hydrogen into the natural gas would require an increase of around 16 % in the flow rate to transport the same energy</w:t>
      </w:r>
      <w:r w:rsidR="00CF7D12">
        <w:t xml:space="preserve"> quantity</w:t>
      </w:r>
      <w:r w:rsidRPr="00704117">
        <w:t>.</w:t>
      </w:r>
    </w:p>
    <w:p w14:paraId="20E10C5B" w14:textId="147D4AFD" w:rsidR="00DF47A0" w:rsidRDefault="00CF7D12" w:rsidP="00F668C6">
      <w:pPr>
        <w:spacing w:line="276" w:lineRule="auto"/>
        <w:jc w:val="both"/>
      </w:pPr>
      <w:r>
        <w:t>The volumetric flow rate in a pipeline is given by combining the flow velocity and the pipeline size (</w:t>
      </w:r>
      <w:proofErr w:type="gramStart"/>
      <w:r>
        <w:t>i.e.</w:t>
      </w:r>
      <w:proofErr w:type="gramEnd"/>
      <w:r>
        <w:t xml:space="preserve"> pipeline </w:t>
      </w:r>
      <w:r w:rsidR="00515CBC">
        <w:t>diameter</w:t>
      </w:r>
      <w:r>
        <w:t>).  T</w:t>
      </w:r>
      <w:r w:rsidR="00DF47A0" w:rsidRPr="000B4B6D">
        <w:t>here is a high</w:t>
      </w:r>
      <w:r>
        <w:t xml:space="preserve"> </w:t>
      </w:r>
      <w:r w:rsidR="00DF47A0" w:rsidRPr="000B4B6D">
        <w:t>variability in the European gas pipelines</w:t>
      </w:r>
      <w:r>
        <w:t>’</w:t>
      </w:r>
      <w:r w:rsidR="00DF47A0" w:rsidRPr="000B4B6D">
        <w:t xml:space="preserve"> </w:t>
      </w:r>
      <w:r>
        <w:t>size depending on</w:t>
      </w:r>
      <w:r w:rsidR="00DF47A0" w:rsidRPr="000B4B6D">
        <w:t xml:space="preserve"> t</w:t>
      </w:r>
      <w:r>
        <w:t>heir</w:t>
      </w:r>
      <w:r w:rsidR="00DF47A0" w:rsidRPr="000B4B6D">
        <w:t xml:space="preserve"> use. The</w:t>
      </w:r>
      <w:r>
        <w:t xml:space="preserve"> design</w:t>
      </w:r>
      <w:r w:rsidR="00DF47A0" w:rsidRPr="000B4B6D">
        <w:t xml:space="preserve"> consumption and maximum flow velocity define</w:t>
      </w:r>
      <w:r>
        <w:t xml:space="preserve"> the</w:t>
      </w:r>
      <w:r w:rsidR="00DF47A0" w:rsidRPr="000B4B6D">
        <w:t xml:space="preserve"> pipeline diameter. </w:t>
      </w:r>
      <w:r w:rsidR="00DF47A0" w:rsidRPr="000B4B6D">
        <w:fldChar w:fldCharType="begin"/>
      </w:r>
      <w:r w:rsidR="00DF47A0" w:rsidRPr="000B4B6D">
        <w:instrText xml:space="preserve"> REF _Ref96611963 \h  \* MERGEFORMAT </w:instrText>
      </w:r>
      <w:r w:rsidR="00DF47A0" w:rsidRPr="000B4B6D">
        <w:fldChar w:fldCharType="separate"/>
      </w:r>
      <w:r w:rsidR="00DF47A0" w:rsidRPr="00186892">
        <w:rPr>
          <w:b/>
          <w:color w:val="007AAE"/>
        </w:rPr>
        <w:t xml:space="preserve">Figure </w:t>
      </w:r>
      <w:r w:rsidR="00DF47A0" w:rsidRPr="00186892">
        <w:rPr>
          <w:b/>
          <w:noProof/>
          <w:color w:val="007AAE"/>
        </w:rPr>
        <w:t>7</w:t>
      </w:r>
      <w:r w:rsidR="00DF47A0" w:rsidRPr="000B4B6D">
        <w:fldChar w:fldCharType="end"/>
      </w:r>
      <w:r w:rsidR="00DF47A0" w:rsidRPr="000B4B6D">
        <w:t xml:space="preserve"> shows </w:t>
      </w:r>
      <w:r w:rsidR="00DF47A0">
        <w:t xml:space="preserve">the </w:t>
      </w:r>
      <w:r w:rsidR="00DF47A0" w:rsidRPr="000B4B6D">
        <w:t xml:space="preserve">total length of pipelines </w:t>
      </w:r>
      <w:r>
        <w:t>against pipeline</w:t>
      </w:r>
      <w:r w:rsidR="00DF47A0" w:rsidRPr="000B4B6D">
        <w:t xml:space="preserve"> diameter according to EGIG data. </w:t>
      </w:r>
      <w:r w:rsidR="00BD181C">
        <w:t>Pipeline d</w:t>
      </w:r>
      <w:r w:rsidR="00DF47A0" w:rsidRPr="000B4B6D">
        <w:t>iameters between 5” and 1</w:t>
      </w:r>
      <w:r w:rsidR="00AA2FE9">
        <w:t>1</w:t>
      </w:r>
      <w:r w:rsidR="00DF47A0" w:rsidRPr="000B4B6D">
        <w:t xml:space="preserve">” </w:t>
      </w:r>
      <w:r w:rsidR="00BD181C">
        <w:t xml:space="preserve">provide the greater </w:t>
      </w:r>
      <w:r w:rsidR="00245653">
        <w:t xml:space="preserve">total </w:t>
      </w:r>
      <w:r w:rsidR="00BD181C">
        <w:t>length p</w:t>
      </w:r>
      <w:r w:rsidR="00DD0BE6">
        <w:t>er diameter, followed by 11” to 17”</w:t>
      </w:r>
      <w:r w:rsidR="00DF47A0" w:rsidRPr="000B4B6D">
        <w:t>.</w:t>
      </w:r>
      <w:r w:rsidR="00FD4369" w:rsidRPr="00FD4369">
        <w:t xml:space="preserve"> </w:t>
      </w:r>
    </w:p>
    <w:p w14:paraId="74A3D227" w14:textId="77777777" w:rsidR="00DF47A0" w:rsidRPr="00D66FD9" w:rsidRDefault="00DF47A0" w:rsidP="00F668C6">
      <w:pPr>
        <w:spacing w:line="276" w:lineRule="auto"/>
        <w:ind w:left="1134"/>
        <w:jc w:val="both"/>
      </w:pPr>
    </w:p>
    <w:p w14:paraId="4BC20CDE" w14:textId="77777777" w:rsidR="00DF47A0" w:rsidRPr="009252DF" w:rsidRDefault="00DF47A0" w:rsidP="00F668C6">
      <w:pPr>
        <w:keepNext/>
        <w:spacing w:line="276" w:lineRule="auto"/>
        <w:jc w:val="both"/>
      </w:pPr>
      <w:r>
        <w:rPr>
          <w:noProof/>
        </w:rPr>
        <w:lastRenderedPageBreak/>
        <w:drawing>
          <wp:inline distT="0" distB="0" distL="0" distR="0" wp14:anchorId="0391F5D9" wp14:editId="1191356A">
            <wp:extent cx="5220000" cy="2698320"/>
            <wp:effectExtent l="0" t="0" r="0" b="698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20000" cy="2698320"/>
                    </a:xfrm>
                    <a:prstGeom prst="rect">
                      <a:avLst/>
                    </a:prstGeom>
                    <a:noFill/>
                  </pic:spPr>
                </pic:pic>
              </a:graphicData>
            </a:graphic>
          </wp:inline>
        </w:drawing>
      </w:r>
    </w:p>
    <w:p w14:paraId="6E746D4C" w14:textId="0B857CEE" w:rsidR="00DF47A0" w:rsidRPr="009252DF" w:rsidRDefault="00DF47A0" w:rsidP="00F668C6">
      <w:pPr>
        <w:spacing w:before="120" w:line="276" w:lineRule="auto"/>
        <w:ind w:left="2552" w:right="1134" w:hanging="1418"/>
        <w:jc w:val="both"/>
        <w:rPr>
          <w:sz w:val="18"/>
          <w:szCs w:val="18"/>
        </w:rPr>
      </w:pPr>
      <w:bookmarkStart w:id="32" w:name="_Ref96611963"/>
      <w:r w:rsidRPr="008742FB">
        <w:rPr>
          <w:b/>
          <w:color w:val="007AAE"/>
          <w:sz w:val="18"/>
          <w:szCs w:val="18"/>
        </w:rPr>
        <w:t xml:space="preserve">Figure </w:t>
      </w:r>
      <w:r w:rsidRPr="008742FB">
        <w:rPr>
          <w:b/>
          <w:color w:val="007AAE"/>
          <w:sz w:val="18"/>
          <w:szCs w:val="18"/>
        </w:rPr>
        <w:fldChar w:fldCharType="begin"/>
      </w:r>
      <w:r w:rsidRPr="008742FB">
        <w:rPr>
          <w:b/>
          <w:color w:val="007AAE"/>
          <w:sz w:val="18"/>
          <w:szCs w:val="18"/>
        </w:rPr>
        <w:instrText xml:space="preserve"> SEQ Figure \* ARABIC </w:instrText>
      </w:r>
      <w:r w:rsidRPr="008742FB">
        <w:rPr>
          <w:b/>
          <w:color w:val="007AAE"/>
          <w:sz w:val="18"/>
          <w:szCs w:val="18"/>
        </w:rPr>
        <w:fldChar w:fldCharType="separate"/>
      </w:r>
      <w:r w:rsidR="00EF1E54">
        <w:rPr>
          <w:b/>
          <w:noProof/>
          <w:color w:val="007AAE"/>
          <w:sz w:val="18"/>
          <w:szCs w:val="18"/>
        </w:rPr>
        <w:t>7</w:t>
      </w:r>
      <w:r w:rsidRPr="008742FB">
        <w:rPr>
          <w:b/>
          <w:color w:val="007AAE"/>
          <w:sz w:val="18"/>
          <w:szCs w:val="18"/>
        </w:rPr>
        <w:fldChar w:fldCharType="end"/>
      </w:r>
      <w:bookmarkEnd w:id="32"/>
      <w:r w:rsidRPr="008742FB">
        <w:rPr>
          <w:bCs/>
          <w:sz w:val="18"/>
          <w:szCs w:val="18"/>
        </w:rPr>
        <w:t>.-</w:t>
      </w:r>
      <w:r w:rsidRPr="009252DF">
        <w:rPr>
          <w:b/>
          <w:sz w:val="18"/>
          <w:szCs w:val="18"/>
        </w:rPr>
        <w:tab/>
      </w:r>
      <w:r>
        <w:rPr>
          <w:sz w:val="18"/>
          <w:szCs w:val="18"/>
        </w:rPr>
        <w:t xml:space="preserve">Total length per diameter </w:t>
      </w:r>
      <w:r w:rsidRPr="005D09C9">
        <w:rPr>
          <w:sz w:val="18"/>
          <w:szCs w:val="18"/>
        </w:rPr>
        <w:t>corresponding to EGIG participating companies</w:t>
      </w:r>
      <w:r w:rsidRPr="001F02EE">
        <w:rPr>
          <w:sz w:val="18"/>
          <w:szCs w:val="18"/>
        </w:rPr>
        <w:t>.</w:t>
      </w:r>
      <w:r>
        <w:rPr>
          <w:sz w:val="18"/>
          <w:szCs w:val="18"/>
        </w:rPr>
        <w:t xml:space="preserve"> </w:t>
      </w:r>
      <w:r w:rsidRPr="005D09C9">
        <w:rPr>
          <w:b/>
          <w:bCs/>
          <w:color w:val="007AAE"/>
          <w:sz w:val="18"/>
          <w:szCs w:val="18"/>
        </w:rPr>
        <w:fldChar w:fldCharType="begin"/>
      </w:r>
      <w:r w:rsidRPr="005D09C9">
        <w:rPr>
          <w:b/>
          <w:bCs/>
          <w:color w:val="007AAE"/>
          <w:sz w:val="18"/>
          <w:szCs w:val="18"/>
        </w:rPr>
        <w:instrText xml:space="preserve"> REF _Ref96608610 \r \h  \* MERGEFORMAT </w:instrText>
      </w:r>
      <w:r w:rsidRPr="005D09C9">
        <w:rPr>
          <w:b/>
          <w:bCs/>
          <w:color w:val="007AAE"/>
          <w:sz w:val="18"/>
          <w:szCs w:val="18"/>
        </w:rPr>
      </w:r>
      <w:r w:rsidRPr="005D09C9">
        <w:rPr>
          <w:b/>
          <w:bCs/>
          <w:color w:val="007AAE"/>
          <w:sz w:val="18"/>
          <w:szCs w:val="18"/>
        </w:rPr>
        <w:fldChar w:fldCharType="separate"/>
      </w:r>
      <w:r>
        <w:rPr>
          <w:b/>
          <w:bCs/>
          <w:color w:val="007AAE"/>
          <w:sz w:val="18"/>
          <w:szCs w:val="18"/>
        </w:rPr>
        <w:t>[15]</w:t>
      </w:r>
      <w:r w:rsidRPr="005D09C9">
        <w:rPr>
          <w:b/>
          <w:bCs/>
          <w:color w:val="007AAE"/>
          <w:sz w:val="18"/>
          <w:szCs w:val="18"/>
        </w:rPr>
        <w:fldChar w:fldCharType="end"/>
      </w:r>
    </w:p>
    <w:p w14:paraId="5E711DE2" w14:textId="77777777" w:rsidR="00DF47A0" w:rsidRDefault="00DF47A0" w:rsidP="00F668C6">
      <w:pPr>
        <w:jc w:val="both"/>
        <w:rPr>
          <w:b/>
          <w:bCs/>
        </w:rPr>
      </w:pPr>
    </w:p>
    <w:p w14:paraId="45624384" w14:textId="269B3B16" w:rsidR="00DF47A0" w:rsidRDefault="004C7736" w:rsidP="004C7736">
      <w:pPr>
        <w:pStyle w:val="Heading3"/>
      </w:pPr>
      <w:bookmarkStart w:id="33" w:name="_Toc121830939"/>
      <w:r>
        <w:t xml:space="preserve">3.2.3 </w:t>
      </w:r>
      <w:r w:rsidR="00DF47A0" w:rsidRPr="00DF47A0">
        <w:t>TEMPERATURE</w:t>
      </w:r>
      <w:bookmarkEnd w:id="33"/>
    </w:p>
    <w:p w14:paraId="3AC76F49" w14:textId="7F0D865F" w:rsidR="00DF47A0" w:rsidRDefault="00FD4990" w:rsidP="00F668C6">
      <w:pPr>
        <w:spacing w:line="276" w:lineRule="auto"/>
        <w:jc w:val="both"/>
      </w:pPr>
      <w:r>
        <w:t>O</w:t>
      </w:r>
      <w:r w:rsidR="00DF47A0" w:rsidRPr="000B4B6D">
        <w:t xml:space="preserve">peration at </w:t>
      </w:r>
      <w:r w:rsidR="00DF47A0">
        <w:t xml:space="preserve">the </w:t>
      </w:r>
      <w:r w:rsidR="00DF47A0" w:rsidRPr="000B4B6D">
        <w:t xml:space="preserve">same temperature could be assumed as </w:t>
      </w:r>
      <w:r w:rsidR="00DF47A0">
        <w:t xml:space="preserve">the gas approaches the ground temperature at some distance. </w:t>
      </w:r>
      <w:r>
        <w:t>However</w:t>
      </w:r>
      <w:r w:rsidR="00DF47A0">
        <w:t>, h</w:t>
      </w:r>
      <w:r w:rsidR="00DF47A0" w:rsidRPr="00E963DB">
        <w:t xml:space="preserve">ydrogen blending </w:t>
      </w:r>
      <w:r w:rsidR="00DF47A0">
        <w:t>significantly influences the Joule−Thomson coefficient of natural gas and, therefore, the expansion</w:t>
      </w:r>
      <w:r w:rsidR="00DF47A0" w:rsidRPr="00610882">
        <w:t xml:space="preserve"> </w:t>
      </w:r>
      <w:r w:rsidR="00DF47A0">
        <w:t xml:space="preserve">process. In the case of natural gas, </w:t>
      </w:r>
      <w:r w:rsidR="00DF47A0" w:rsidRPr="00E963DB">
        <w:t>the J</w:t>
      </w:r>
      <w:r w:rsidR="00DF47A0">
        <w:t>oule</w:t>
      </w:r>
      <w:r w:rsidR="00DF47A0" w:rsidRPr="00E963DB">
        <w:t>−T</w:t>
      </w:r>
      <w:r w:rsidR="00DF47A0">
        <w:t>homson</w:t>
      </w:r>
      <w:r w:rsidR="00DF47A0" w:rsidRPr="00E963DB">
        <w:t xml:space="preserve"> coefficient is positive</w:t>
      </w:r>
      <w:r w:rsidR="00DF47A0">
        <w:t xml:space="preserve"> (around 0,40 ºC/bar at 80 bar and 10 ºC) and </w:t>
      </w:r>
      <w:r w:rsidR="00DF47A0" w:rsidRPr="00E963DB">
        <w:t>the fluid cools</w:t>
      </w:r>
      <w:r w:rsidR="00DF47A0">
        <w:t xml:space="preserve"> </w:t>
      </w:r>
      <w:r w:rsidR="00DF47A0" w:rsidRPr="00E963DB">
        <w:t>upon expansion</w:t>
      </w:r>
      <w:r w:rsidR="00DF47A0">
        <w:t xml:space="preserve">. </w:t>
      </w:r>
      <w:r w:rsidR="00DF47A0" w:rsidRPr="00E963DB">
        <w:t xml:space="preserve">In the case of </w:t>
      </w:r>
      <w:r w:rsidR="00DF47A0">
        <w:t>hydrogen,</w:t>
      </w:r>
      <w:r w:rsidR="00DF47A0" w:rsidRPr="00E963DB">
        <w:t xml:space="preserve"> the Joule−Thomson coefficient is negative</w:t>
      </w:r>
      <w:r w:rsidR="00DF47A0">
        <w:t xml:space="preserve"> (around -0,04 ºC/bar at 80 bar and 10 ºC) and therefore,</w:t>
      </w:r>
      <w:r w:rsidR="00DF47A0" w:rsidRPr="00E963DB">
        <w:t xml:space="preserve"> the fluid warms upon</w:t>
      </w:r>
      <w:r w:rsidR="00DF47A0">
        <w:t xml:space="preserve"> </w:t>
      </w:r>
      <w:r w:rsidR="00DF47A0" w:rsidRPr="00E963DB">
        <w:t>expansion.</w:t>
      </w:r>
      <w:r w:rsidR="00DF47A0">
        <w:t xml:space="preserve"> </w:t>
      </w:r>
      <w:r w:rsidR="00DF47A0" w:rsidRPr="00166A73">
        <w:t>J</w:t>
      </w:r>
      <w:r w:rsidR="00DF47A0">
        <w:t>oule</w:t>
      </w:r>
      <w:r w:rsidR="00DF47A0" w:rsidRPr="00166A73">
        <w:t>−T</w:t>
      </w:r>
      <w:r w:rsidR="00DF47A0">
        <w:t xml:space="preserve">homson </w:t>
      </w:r>
      <w:r w:rsidR="00DF47A0" w:rsidRPr="00166A73">
        <w:t xml:space="preserve">coefficient of </w:t>
      </w:r>
      <w:r w:rsidR="00DF47A0" w:rsidRPr="006B0403">
        <w:t>hydrogen-natural gas mixture</w:t>
      </w:r>
      <w:r w:rsidR="00DF47A0">
        <w:t>s</w:t>
      </w:r>
      <w:r w:rsidR="00DF47A0" w:rsidRPr="00166A73">
        <w:t xml:space="preserve"> decreases approximately linearly with the increase of the hydrogen blending ratio.</w:t>
      </w:r>
      <w:r w:rsidR="00DF47A0">
        <w:t xml:space="preserve"> </w:t>
      </w:r>
      <w:r w:rsidR="00DF47A0" w:rsidRPr="00166A73">
        <w:t xml:space="preserve">When the hydrogen blending ratio reaches </w:t>
      </w:r>
      <w:r w:rsidR="00DF47A0">
        <w:t>2</w:t>
      </w:r>
      <w:r w:rsidR="00DF47A0" w:rsidRPr="00166A73">
        <w:t>0</w:t>
      </w:r>
      <w:r w:rsidR="00DF47A0">
        <w:t xml:space="preserve"> vol</w:t>
      </w:r>
      <w:r>
        <w:t xml:space="preserve"> </w:t>
      </w:r>
      <w:r w:rsidR="00DF47A0" w:rsidRPr="00166A73">
        <w:t xml:space="preserve">%, the </w:t>
      </w:r>
      <w:r w:rsidR="00DF47A0">
        <w:t>admixture coefficient decreases by 30−35 % compared with the</w:t>
      </w:r>
      <w:r w:rsidR="00DF47A0" w:rsidRPr="00166A73">
        <w:t xml:space="preserve"> </w:t>
      </w:r>
      <w:r w:rsidR="00DF47A0">
        <w:t>coefficient</w:t>
      </w:r>
      <w:r w:rsidR="00DF47A0" w:rsidRPr="00166A73">
        <w:t xml:space="preserve"> of natural gas</w:t>
      </w:r>
      <w:r w:rsidR="00DF47A0">
        <w:t xml:space="preserve">. This phenomenon impacts the </w:t>
      </w:r>
      <w:r w:rsidR="00DF47A0" w:rsidRPr="00610882">
        <w:t>isenthalpic expansion of fluid</w:t>
      </w:r>
      <w:r w:rsidR="00DF47A0">
        <w:t xml:space="preserve"> at </w:t>
      </w:r>
      <w:r w:rsidR="00DF47A0" w:rsidRPr="00C6019A">
        <w:t>pressure regulation</w:t>
      </w:r>
      <w:r w:rsidR="00DF47A0">
        <w:t xml:space="preserve"> and metering </w:t>
      </w:r>
      <w:r w:rsidR="00DF47A0" w:rsidRPr="00610882">
        <w:t>stations</w:t>
      </w:r>
      <w:r w:rsidR="00DF47A0">
        <w:t>.</w:t>
      </w:r>
    </w:p>
    <w:p w14:paraId="458FAEA7" w14:textId="342C07E6" w:rsidR="00A16A51" w:rsidRDefault="00A16A51" w:rsidP="00F668C6">
      <w:pPr>
        <w:spacing w:line="276" w:lineRule="auto"/>
        <w:jc w:val="both"/>
      </w:pPr>
    </w:p>
    <w:p w14:paraId="1837C41F" w14:textId="4A14E01C" w:rsidR="00A16A51" w:rsidRDefault="007F1021" w:rsidP="00F668C6">
      <w:pPr>
        <w:pStyle w:val="Heading2"/>
        <w:jc w:val="both"/>
      </w:pPr>
      <w:bookmarkStart w:id="34" w:name="_Ref110338751"/>
      <w:bookmarkStart w:id="35" w:name="_Ref110338757"/>
      <w:bookmarkStart w:id="36" w:name="_Ref110338783"/>
      <w:bookmarkStart w:id="37" w:name="_Toc121830940"/>
      <w:r w:rsidRPr="007F1021">
        <w:t>3.3.</w:t>
      </w:r>
      <w:r w:rsidR="007B0434">
        <w:t xml:space="preserve"> </w:t>
      </w:r>
      <w:r w:rsidRPr="007F1021">
        <w:t>PROJECTS ON GAS GRID AND HYDROGEN</w:t>
      </w:r>
      <w:bookmarkEnd w:id="34"/>
      <w:bookmarkEnd w:id="35"/>
      <w:bookmarkEnd w:id="36"/>
      <w:bookmarkEnd w:id="37"/>
    </w:p>
    <w:p w14:paraId="6EA42499" w14:textId="2A1CEFE1" w:rsidR="00A16A51" w:rsidRDefault="00A16A51" w:rsidP="00F668C6">
      <w:pPr>
        <w:spacing w:line="276" w:lineRule="auto"/>
        <w:jc w:val="both"/>
      </w:pPr>
    </w:p>
    <w:p w14:paraId="111ACBF9" w14:textId="4B9C7FDF" w:rsidR="007F1021" w:rsidRDefault="007F1021" w:rsidP="00F668C6">
      <w:pPr>
        <w:spacing w:line="276" w:lineRule="auto"/>
        <w:jc w:val="both"/>
      </w:pPr>
      <w:r>
        <w:t xml:space="preserve">In the </w:t>
      </w:r>
      <w:r w:rsidR="004137F4">
        <w:t>past</w:t>
      </w:r>
      <w:r>
        <w:t xml:space="preserve"> years, many projects have been performed or developed to analyse gas grids' tolerance</w:t>
      </w:r>
      <w:r w:rsidRPr="000B4B6D">
        <w:t xml:space="preserve"> to hydrogen. Some of the most relevant are listed in </w:t>
      </w:r>
      <w:r w:rsidRPr="000B4B6D">
        <w:fldChar w:fldCharType="begin"/>
      </w:r>
      <w:r w:rsidRPr="000B4B6D">
        <w:instrText xml:space="preserve"> REF _Ref96612347 \h </w:instrText>
      </w:r>
      <w:r>
        <w:instrText xml:space="preserve"> \* MERGEFORMAT </w:instrText>
      </w:r>
      <w:r w:rsidRPr="000B4B6D">
        <w:fldChar w:fldCharType="separate"/>
      </w:r>
      <w:r w:rsidRPr="00186892">
        <w:rPr>
          <w:b/>
          <w:color w:val="007AAE"/>
        </w:rPr>
        <w:t xml:space="preserve">Table </w:t>
      </w:r>
      <w:r w:rsidRPr="00186892">
        <w:rPr>
          <w:b/>
          <w:noProof/>
          <w:color w:val="007AAE"/>
        </w:rPr>
        <w:t>3</w:t>
      </w:r>
      <w:r w:rsidRPr="000B4B6D">
        <w:fldChar w:fldCharType="end"/>
      </w:r>
      <w:r w:rsidRPr="000B4B6D">
        <w:t>.</w:t>
      </w:r>
    </w:p>
    <w:p w14:paraId="16F4D720" w14:textId="77777777" w:rsidR="007F1021" w:rsidRPr="008742FB" w:rsidRDefault="007F1021" w:rsidP="00F668C6">
      <w:pPr>
        <w:spacing w:line="276" w:lineRule="auto"/>
        <w:jc w:val="both"/>
      </w:pPr>
    </w:p>
    <w:p w14:paraId="49ED97ED" w14:textId="77777777" w:rsidR="007F1021" w:rsidRDefault="007F1021" w:rsidP="00F668C6">
      <w:pPr>
        <w:spacing w:line="276" w:lineRule="auto"/>
        <w:ind w:left="2552" w:right="1134" w:hanging="1418"/>
        <w:jc w:val="both"/>
        <w:rPr>
          <w:bCs/>
          <w:sz w:val="18"/>
          <w:szCs w:val="18"/>
        </w:rPr>
      </w:pPr>
      <w:bookmarkStart w:id="38" w:name="_Ref96612347"/>
      <w:r w:rsidRPr="00676798">
        <w:rPr>
          <w:b/>
          <w:color w:val="007AAE"/>
          <w:sz w:val="18"/>
          <w:szCs w:val="18"/>
        </w:rPr>
        <w:t xml:space="preserve">Table </w:t>
      </w:r>
      <w:r w:rsidRPr="008742FB">
        <w:rPr>
          <w:b/>
          <w:color w:val="007AAE"/>
          <w:sz w:val="18"/>
          <w:szCs w:val="18"/>
          <w:lang w:val="es-ES_tradnl"/>
        </w:rPr>
        <w:fldChar w:fldCharType="begin"/>
      </w:r>
      <w:r w:rsidRPr="00676798">
        <w:rPr>
          <w:b/>
          <w:color w:val="007AAE"/>
          <w:sz w:val="18"/>
          <w:szCs w:val="18"/>
        </w:rPr>
        <w:instrText xml:space="preserve"> SEQ Table \* ARABIC </w:instrText>
      </w:r>
      <w:r w:rsidRPr="008742FB">
        <w:rPr>
          <w:b/>
          <w:color w:val="007AAE"/>
          <w:sz w:val="18"/>
          <w:szCs w:val="18"/>
          <w:lang w:val="es-ES_tradnl"/>
        </w:rPr>
        <w:fldChar w:fldCharType="separate"/>
      </w:r>
      <w:r>
        <w:rPr>
          <w:b/>
          <w:noProof/>
          <w:color w:val="007AAE"/>
          <w:sz w:val="18"/>
          <w:szCs w:val="18"/>
        </w:rPr>
        <w:t>3</w:t>
      </w:r>
      <w:r w:rsidRPr="008742FB">
        <w:rPr>
          <w:b/>
          <w:color w:val="007AAE"/>
          <w:sz w:val="18"/>
          <w:szCs w:val="18"/>
          <w:lang w:val="es-ES_tradnl"/>
        </w:rPr>
        <w:fldChar w:fldCharType="end"/>
      </w:r>
      <w:bookmarkEnd w:id="38"/>
      <w:r w:rsidRPr="00676798">
        <w:rPr>
          <w:bCs/>
          <w:sz w:val="18"/>
          <w:szCs w:val="18"/>
        </w:rPr>
        <w:t>.-</w:t>
      </w:r>
      <w:r w:rsidRPr="00676798">
        <w:rPr>
          <w:bCs/>
          <w:sz w:val="18"/>
          <w:szCs w:val="18"/>
        </w:rPr>
        <w:tab/>
      </w:r>
      <w:r>
        <w:rPr>
          <w:bCs/>
          <w:sz w:val="18"/>
          <w:szCs w:val="18"/>
        </w:rPr>
        <w:t>Finished or existing European projects on hydrogen injection into the gas grid</w:t>
      </w:r>
      <w:r w:rsidRPr="00676798">
        <w:rPr>
          <w:bCs/>
          <w:sz w:val="18"/>
          <w:szCs w:val="18"/>
        </w:rPr>
        <w:t>.</w:t>
      </w:r>
      <w:r>
        <w:rPr>
          <w:bCs/>
          <w:sz w:val="18"/>
          <w:szCs w:val="18"/>
        </w:rPr>
        <w:t xml:space="preserve"> </w:t>
      </w:r>
      <w:r w:rsidRPr="00CF6846">
        <w:rPr>
          <w:b/>
          <w:color w:val="007AAE"/>
          <w:sz w:val="18"/>
          <w:szCs w:val="18"/>
        </w:rPr>
        <w:fldChar w:fldCharType="begin"/>
      </w:r>
      <w:r w:rsidRPr="00CF6846">
        <w:rPr>
          <w:b/>
          <w:color w:val="007AAE"/>
          <w:sz w:val="18"/>
          <w:szCs w:val="18"/>
        </w:rPr>
        <w:instrText xml:space="preserve"> REF _Ref96687381 \r \h  \* MERGEFORMAT </w:instrText>
      </w:r>
      <w:r w:rsidRPr="00CF6846">
        <w:rPr>
          <w:b/>
          <w:color w:val="007AAE"/>
          <w:sz w:val="18"/>
          <w:szCs w:val="18"/>
        </w:rPr>
      </w:r>
      <w:r w:rsidRPr="00CF6846">
        <w:rPr>
          <w:b/>
          <w:color w:val="007AAE"/>
          <w:sz w:val="18"/>
          <w:szCs w:val="18"/>
        </w:rPr>
        <w:fldChar w:fldCharType="separate"/>
      </w:r>
      <w:r>
        <w:rPr>
          <w:b/>
          <w:color w:val="007AAE"/>
          <w:sz w:val="18"/>
          <w:szCs w:val="18"/>
        </w:rPr>
        <w:t>[19]</w:t>
      </w:r>
      <w:r w:rsidRPr="00CF6846">
        <w:rPr>
          <w:b/>
          <w:color w:val="007AAE"/>
          <w:sz w:val="18"/>
          <w:szCs w:val="18"/>
        </w:rPr>
        <w:fldChar w:fldCharType="end"/>
      </w:r>
      <w:r w:rsidRPr="00CF6846">
        <w:rPr>
          <w:bCs/>
          <w:sz w:val="18"/>
          <w:szCs w:val="18"/>
        </w:rPr>
        <w:t xml:space="preserve"> </w:t>
      </w:r>
      <w:r w:rsidRPr="00A77007">
        <w:rPr>
          <w:b/>
          <w:color w:val="007AAE"/>
          <w:sz w:val="18"/>
          <w:szCs w:val="18"/>
        </w:rPr>
        <w:fldChar w:fldCharType="begin"/>
      </w:r>
      <w:r w:rsidRPr="00A77007">
        <w:rPr>
          <w:b/>
          <w:color w:val="007AAE"/>
          <w:sz w:val="18"/>
          <w:szCs w:val="18"/>
        </w:rPr>
        <w:instrText xml:space="preserve"> REF _Ref96612860 \r \h </w:instrText>
      </w:r>
      <w:r>
        <w:rPr>
          <w:b/>
          <w:color w:val="007AAE"/>
          <w:sz w:val="18"/>
          <w:szCs w:val="18"/>
        </w:rPr>
        <w:instrText xml:space="preserve"> \* MERGEFORMAT </w:instrText>
      </w:r>
      <w:r w:rsidRPr="00A77007">
        <w:rPr>
          <w:b/>
          <w:color w:val="007AAE"/>
          <w:sz w:val="18"/>
          <w:szCs w:val="18"/>
        </w:rPr>
      </w:r>
      <w:r w:rsidRPr="00A77007">
        <w:rPr>
          <w:b/>
          <w:color w:val="007AAE"/>
          <w:sz w:val="18"/>
          <w:szCs w:val="18"/>
        </w:rPr>
        <w:fldChar w:fldCharType="separate"/>
      </w:r>
      <w:r>
        <w:rPr>
          <w:b/>
          <w:color w:val="007AAE"/>
          <w:sz w:val="18"/>
          <w:szCs w:val="18"/>
        </w:rPr>
        <w:t>[20]</w:t>
      </w:r>
      <w:r w:rsidRPr="00A77007">
        <w:rPr>
          <w:b/>
          <w:color w:val="007AAE"/>
          <w:sz w:val="18"/>
          <w:szCs w:val="18"/>
        </w:rPr>
        <w:fldChar w:fldCharType="end"/>
      </w:r>
    </w:p>
    <w:p w14:paraId="3AEA4CDE" w14:textId="77777777" w:rsidR="007F1021" w:rsidRPr="00E93E17" w:rsidRDefault="007F1021" w:rsidP="00F668C6">
      <w:pPr>
        <w:spacing w:after="120" w:line="276" w:lineRule="auto"/>
        <w:ind w:left="2835" w:right="1134"/>
        <w:jc w:val="both"/>
        <w:rPr>
          <w:bCs/>
          <w:sz w:val="18"/>
          <w:szCs w:val="18"/>
        </w:rPr>
      </w:pPr>
      <w:r w:rsidRPr="00E93E17">
        <w:rPr>
          <w:sz w:val="16"/>
          <w:szCs w:val="18"/>
          <w:vertAlign w:val="superscript"/>
        </w:rPr>
        <w:t>(1)</w:t>
      </w:r>
      <w:r w:rsidRPr="00E93E17">
        <w:rPr>
          <w:sz w:val="16"/>
          <w:szCs w:val="18"/>
        </w:rPr>
        <w:t xml:space="preserve"> </w:t>
      </w:r>
      <w:r>
        <w:rPr>
          <w:sz w:val="16"/>
          <w:szCs w:val="18"/>
        </w:rPr>
        <w:t xml:space="preserve">More information is available at </w:t>
      </w:r>
      <w:r w:rsidRPr="00A77007">
        <w:rPr>
          <w:sz w:val="16"/>
          <w:szCs w:val="18"/>
        </w:rPr>
        <w:t>https://h2-project-visualisation-platform.entsog.eu/</w:t>
      </w:r>
      <w:r>
        <w:rPr>
          <w:sz w:val="16"/>
          <w:szCs w:val="18"/>
        </w:rPr>
        <w:t>.</w:t>
      </w:r>
    </w:p>
    <w:tbl>
      <w:tblPr>
        <w:tblStyle w:val="TableGrid"/>
        <w:tblW w:w="9070" w:type="dxa"/>
        <w:jc w:val="center"/>
        <w:tblLook w:val="04A0" w:firstRow="1" w:lastRow="0" w:firstColumn="1" w:lastColumn="0" w:noHBand="0" w:noVBand="1"/>
      </w:tblPr>
      <w:tblGrid>
        <w:gridCol w:w="1984"/>
        <w:gridCol w:w="1417"/>
        <w:gridCol w:w="1417"/>
        <w:gridCol w:w="4252"/>
      </w:tblGrid>
      <w:tr w:rsidR="007F1021" w:rsidRPr="00332254" w14:paraId="4764704E" w14:textId="77777777" w:rsidTr="00B26C13">
        <w:trPr>
          <w:trHeight w:val="397"/>
          <w:jc w:val="center"/>
        </w:trPr>
        <w:tc>
          <w:tcPr>
            <w:tcW w:w="1984" w:type="dxa"/>
            <w:tcBorders>
              <w:top w:val="nil"/>
              <w:left w:val="nil"/>
              <w:bottom w:val="single" w:sz="12" w:space="0" w:color="auto"/>
              <w:right w:val="nil"/>
            </w:tcBorders>
            <w:shd w:val="clear" w:color="auto" w:fill="D9D9D9" w:themeFill="background1" w:themeFillShade="D9"/>
            <w:vAlign w:val="center"/>
          </w:tcPr>
          <w:p w14:paraId="4993BE75" w14:textId="77777777" w:rsidR="007F1021" w:rsidRPr="008742FB" w:rsidRDefault="007F1021" w:rsidP="00F668C6">
            <w:pPr>
              <w:autoSpaceDE w:val="0"/>
              <w:autoSpaceDN w:val="0"/>
              <w:adjustRightInd w:val="0"/>
              <w:jc w:val="both"/>
              <w:rPr>
                <w:rFonts w:cs="Verdana"/>
                <w:sz w:val="16"/>
                <w:szCs w:val="16"/>
                <w:lang w:eastAsia="es-ES"/>
              </w:rPr>
            </w:pPr>
            <w:r>
              <w:rPr>
                <w:rFonts w:cs="Verdana"/>
                <w:sz w:val="16"/>
                <w:szCs w:val="16"/>
                <w:lang w:eastAsia="es-ES"/>
              </w:rPr>
              <w:t>Project Name</w:t>
            </w:r>
          </w:p>
        </w:tc>
        <w:tc>
          <w:tcPr>
            <w:tcW w:w="1417" w:type="dxa"/>
            <w:tcBorders>
              <w:top w:val="nil"/>
              <w:left w:val="nil"/>
              <w:bottom w:val="single" w:sz="12" w:space="0" w:color="auto"/>
              <w:right w:val="nil"/>
            </w:tcBorders>
            <w:shd w:val="clear" w:color="auto" w:fill="D9D9D9" w:themeFill="background1" w:themeFillShade="D9"/>
            <w:vAlign w:val="center"/>
          </w:tcPr>
          <w:p w14:paraId="43FE783A" w14:textId="77777777" w:rsidR="007F1021" w:rsidRPr="008742FB" w:rsidRDefault="007F1021" w:rsidP="00F668C6">
            <w:pPr>
              <w:autoSpaceDE w:val="0"/>
              <w:autoSpaceDN w:val="0"/>
              <w:adjustRightInd w:val="0"/>
              <w:jc w:val="both"/>
              <w:rPr>
                <w:rFonts w:cs="Verdana"/>
                <w:sz w:val="16"/>
                <w:szCs w:val="16"/>
                <w:lang w:eastAsia="es-ES"/>
              </w:rPr>
            </w:pPr>
            <w:r>
              <w:rPr>
                <w:rFonts w:cs="Verdana"/>
                <w:sz w:val="16"/>
                <w:szCs w:val="16"/>
                <w:lang w:eastAsia="es-ES"/>
              </w:rPr>
              <w:t>Location</w:t>
            </w:r>
          </w:p>
        </w:tc>
        <w:tc>
          <w:tcPr>
            <w:tcW w:w="1417" w:type="dxa"/>
            <w:tcBorders>
              <w:top w:val="nil"/>
              <w:left w:val="nil"/>
              <w:bottom w:val="single" w:sz="12" w:space="0" w:color="auto"/>
              <w:right w:val="nil"/>
            </w:tcBorders>
            <w:shd w:val="clear" w:color="auto" w:fill="D9D9D9" w:themeFill="background1" w:themeFillShade="D9"/>
            <w:vAlign w:val="center"/>
          </w:tcPr>
          <w:p w14:paraId="14572E3A" w14:textId="77777777" w:rsidR="007F1021" w:rsidRPr="008742FB" w:rsidRDefault="007F1021" w:rsidP="00F668C6">
            <w:pPr>
              <w:autoSpaceDE w:val="0"/>
              <w:autoSpaceDN w:val="0"/>
              <w:adjustRightInd w:val="0"/>
              <w:jc w:val="both"/>
              <w:rPr>
                <w:rFonts w:cs="Verdana"/>
                <w:sz w:val="16"/>
                <w:szCs w:val="16"/>
                <w:lang w:eastAsia="es-ES"/>
              </w:rPr>
            </w:pPr>
            <w:r>
              <w:rPr>
                <w:rFonts w:cs="Verdana"/>
                <w:sz w:val="16"/>
                <w:szCs w:val="16"/>
                <w:lang w:eastAsia="es-ES"/>
              </w:rPr>
              <w:t>Duration</w:t>
            </w:r>
          </w:p>
        </w:tc>
        <w:tc>
          <w:tcPr>
            <w:tcW w:w="4252" w:type="dxa"/>
            <w:tcBorders>
              <w:top w:val="nil"/>
              <w:left w:val="nil"/>
              <w:bottom w:val="single" w:sz="12" w:space="0" w:color="auto"/>
              <w:right w:val="nil"/>
            </w:tcBorders>
            <w:shd w:val="clear" w:color="auto" w:fill="D9D9D9" w:themeFill="background1" w:themeFillShade="D9"/>
            <w:vAlign w:val="center"/>
          </w:tcPr>
          <w:p w14:paraId="6F9522C9" w14:textId="77777777" w:rsidR="007F1021" w:rsidRPr="008742FB" w:rsidRDefault="007F1021" w:rsidP="00F668C6">
            <w:pPr>
              <w:autoSpaceDE w:val="0"/>
              <w:autoSpaceDN w:val="0"/>
              <w:adjustRightInd w:val="0"/>
              <w:jc w:val="both"/>
              <w:rPr>
                <w:rFonts w:cs="Verdana"/>
                <w:sz w:val="16"/>
                <w:szCs w:val="16"/>
                <w:lang w:eastAsia="es-ES"/>
              </w:rPr>
            </w:pPr>
            <w:r>
              <w:rPr>
                <w:rFonts w:cs="Verdana"/>
                <w:sz w:val="16"/>
                <w:szCs w:val="16"/>
                <w:lang w:eastAsia="es-ES"/>
              </w:rPr>
              <w:t>Scope</w:t>
            </w:r>
          </w:p>
        </w:tc>
      </w:tr>
      <w:tr w:rsidR="007F1021" w:rsidRPr="007708FC" w14:paraId="7DB17CD5" w14:textId="77777777" w:rsidTr="00B26C13">
        <w:trPr>
          <w:trHeight w:val="283"/>
          <w:jc w:val="center"/>
        </w:trPr>
        <w:tc>
          <w:tcPr>
            <w:tcW w:w="1984" w:type="dxa"/>
            <w:tcBorders>
              <w:top w:val="single" w:sz="12" w:space="0" w:color="auto"/>
              <w:left w:val="nil"/>
              <w:bottom w:val="single" w:sz="4" w:space="0" w:color="auto"/>
              <w:right w:val="nil"/>
            </w:tcBorders>
            <w:shd w:val="clear" w:color="auto" w:fill="auto"/>
            <w:vAlign w:val="center"/>
          </w:tcPr>
          <w:p w14:paraId="733540C4" w14:textId="77777777" w:rsidR="007F1021" w:rsidRPr="00121308" w:rsidRDefault="007F1021" w:rsidP="00F668C6">
            <w:pPr>
              <w:autoSpaceDE w:val="0"/>
              <w:autoSpaceDN w:val="0"/>
              <w:adjustRightInd w:val="0"/>
              <w:spacing w:before="60" w:after="60"/>
              <w:jc w:val="both"/>
              <w:rPr>
                <w:b/>
                <w:bCs/>
                <w:sz w:val="16"/>
              </w:rPr>
            </w:pPr>
            <w:proofErr w:type="spellStart"/>
            <w:r w:rsidRPr="00121308">
              <w:rPr>
                <w:b/>
                <w:bCs/>
                <w:sz w:val="16"/>
              </w:rPr>
              <w:t>NaturalHy</w:t>
            </w:r>
            <w:proofErr w:type="spellEnd"/>
          </w:p>
          <w:p w14:paraId="5D0296A3" w14:textId="77777777" w:rsidR="007F1021" w:rsidRDefault="007F1021" w:rsidP="00F668C6">
            <w:pPr>
              <w:autoSpaceDE w:val="0"/>
              <w:autoSpaceDN w:val="0"/>
              <w:adjustRightInd w:val="0"/>
              <w:spacing w:before="60" w:after="60"/>
              <w:jc w:val="both"/>
              <w:rPr>
                <w:sz w:val="16"/>
              </w:rPr>
            </w:pPr>
            <w:r>
              <w:rPr>
                <w:sz w:val="16"/>
              </w:rPr>
              <w:t>‘</w:t>
            </w:r>
            <w:r w:rsidRPr="00121308">
              <w:rPr>
                <w:sz w:val="16"/>
              </w:rPr>
              <w:t>Preparing for the hydrogen economy using the existing natural gas system as a catalyst</w:t>
            </w:r>
            <w:r>
              <w:rPr>
                <w:sz w:val="16"/>
              </w:rPr>
              <w:t>.’</w:t>
            </w:r>
          </w:p>
        </w:tc>
        <w:tc>
          <w:tcPr>
            <w:tcW w:w="1417" w:type="dxa"/>
            <w:tcBorders>
              <w:top w:val="single" w:sz="12" w:space="0" w:color="auto"/>
              <w:left w:val="nil"/>
              <w:bottom w:val="single" w:sz="4" w:space="0" w:color="auto"/>
              <w:right w:val="nil"/>
            </w:tcBorders>
            <w:vAlign w:val="center"/>
          </w:tcPr>
          <w:p w14:paraId="4759D9BC" w14:textId="77777777" w:rsidR="007F1021" w:rsidRPr="008742FB" w:rsidRDefault="007F1021" w:rsidP="00F668C6">
            <w:pPr>
              <w:autoSpaceDE w:val="0"/>
              <w:autoSpaceDN w:val="0"/>
              <w:adjustRightInd w:val="0"/>
              <w:spacing w:before="60" w:after="60"/>
              <w:jc w:val="both"/>
              <w:rPr>
                <w:sz w:val="16"/>
              </w:rPr>
            </w:pPr>
            <w:r>
              <w:rPr>
                <w:sz w:val="16"/>
              </w:rPr>
              <w:t>Europe</w:t>
            </w:r>
          </w:p>
        </w:tc>
        <w:tc>
          <w:tcPr>
            <w:tcW w:w="1417" w:type="dxa"/>
            <w:tcBorders>
              <w:top w:val="single" w:sz="12" w:space="0" w:color="auto"/>
              <w:left w:val="nil"/>
              <w:bottom w:val="single" w:sz="4" w:space="0" w:color="auto"/>
              <w:right w:val="nil"/>
            </w:tcBorders>
            <w:shd w:val="clear" w:color="auto" w:fill="auto"/>
            <w:vAlign w:val="center"/>
          </w:tcPr>
          <w:p w14:paraId="5D02D810" w14:textId="77777777" w:rsidR="007F1021" w:rsidRPr="008742FB" w:rsidRDefault="007F1021" w:rsidP="00F668C6">
            <w:pPr>
              <w:autoSpaceDE w:val="0"/>
              <w:autoSpaceDN w:val="0"/>
              <w:adjustRightInd w:val="0"/>
              <w:spacing w:before="60" w:after="60"/>
              <w:jc w:val="both"/>
              <w:rPr>
                <w:sz w:val="16"/>
              </w:rPr>
            </w:pPr>
            <w:r>
              <w:rPr>
                <w:sz w:val="16"/>
              </w:rPr>
              <w:t>2004-2010</w:t>
            </w:r>
          </w:p>
        </w:tc>
        <w:tc>
          <w:tcPr>
            <w:tcW w:w="4252" w:type="dxa"/>
            <w:tcBorders>
              <w:top w:val="single" w:sz="12" w:space="0" w:color="auto"/>
              <w:left w:val="nil"/>
              <w:bottom w:val="single" w:sz="4" w:space="0" w:color="auto"/>
              <w:right w:val="nil"/>
            </w:tcBorders>
            <w:shd w:val="clear" w:color="auto" w:fill="auto"/>
            <w:vAlign w:val="center"/>
          </w:tcPr>
          <w:p w14:paraId="5127C4B0" w14:textId="77777777" w:rsidR="007F1021" w:rsidRPr="008742FB" w:rsidRDefault="007F1021" w:rsidP="00F668C6">
            <w:pPr>
              <w:autoSpaceDE w:val="0"/>
              <w:autoSpaceDN w:val="0"/>
              <w:adjustRightInd w:val="0"/>
              <w:spacing w:before="60" w:after="60"/>
              <w:jc w:val="both"/>
              <w:rPr>
                <w:rFonts w:cs="Verdana"/>
                <w:sz w:val="16"/>
                <w:szCs w:val="16"/>
                <w:lang w:eastAsia="es-ES"/>
              </w:rPr>
            </w:pPr>
            <w:r w:rsidRPr="00EC35AE">
              <w:rPr>
                <w:rFonts w:cs="Verdana"/>
                <w:sz w:val="16"/>
                <w:szCs w:val="16"/>
                <w:lang w:eastAsia="es-ES"/>
              </w:rPr>
              <w:t>Investigate whether hydrogen could be delivered safely via the existing European natural gas network. Membranes were developed to subtract hydrogen from a hydrogen/natural gas mixture for hydrogen</w:t>
            </w:r>
            <w:r>
              <w:rPr>
                <w:rFonts w:cs="Verdana"/>
                <w:sz w:val="16"/>
                <w:szCs w:val="16"/>
                <w:lang w:eastAsia="es-ES"/>
              </w:rPr>
              <w:t>-</w:t>
            </w:r>
            <w:r w:rsidRPr="00EC35AE">
              <w:rPr>
                <w:rFonts w:cs="Verdana"/>
                <w:sz w:val="16"/>
                <w:szCs w:val="16"/>
                <w:lang w:eastAsia="es-ES"/>
              </w:rPr>
              <w:t>powered equipment.</w:t>
            </w:r>
          </w:p>
        </w:tc>
      </w:tr>
      <w:tr w:rsidR="007F1021" w:rsidRPr="007708FC" w14:paraId="61A72718" w14:textId="77777777" w:rsidTr="00B26C13">
        <w:trPr>
          <w:trHeight w:val="283"/>
          <w:jc w:val="center"/>
        </w:trPr>
        <w:tc>
          <w:tcPr>
            <w:tcW w:w="1984" w:type="dxa"/>
            <w:tcBorders>
              <w:top w:val="single" w:sz="4" w:space="0" w:color="auto"/>
              <w:left w:val="nil"/>
              <w:bottom w:val="single" w:sz="4" w:space="0" w:color="auto"/>
              <w:right w:val="nil"/>
            </w:tcBorders>
            <w:shd w:val="clear" w:color="auto" w:fill="auto"/>
            <w:vAlign w:val="center"/>
          </w:tcPr>
          <w:p w14:paraId="1D0F02F9" w14:textId="77777777" w:rsidR="007F1021" w:rsidRDefault="007F1021" w:rsidP="00F668C6">
            <w:pPr>
              <w:autoSpaceDE w:val="0"/>
              <w:autoSpaceDN w:val="0"/>
              <w:adjustRightInd w:val="0"/>
              <w:spacing w:before="60" w:after="60"/>
              <w:jc w:val="both"/>
              <w:rPr>
                <w:b/>
                <w:bCs/>
                <w:sz w:val="16"/>
              </w:rPr>
            </w:pPr>
            <w:r>
              <w:rPr>
                <w:b/>
                <w:bCs/>
                <w:sz w:val="16"/>
              </w:rPr>
              <w:t>HIPS</w:t>
            </w:r>
          </w:p>
          <w:p w14:paraId="63F1CD37" w14:textId="77777777" w:rsidR="007F1021" w:rsidRPr="00BE616A" w:rsidRDefault="007F1021" w:rsidP="00F668C6">
            <w:pPr>
              <w:autoSpaceDE w:val="0"/>
              <w:autoSpaceDN w:val="0"/>
              <w:adjustRightInd w:val="0"/>
              <w:spacing w:before="60" w:after="60"/>
              <w:jc w:val="both"/>
              <w:rPr>
                <w:sz w:val="16"/>
              </w:rPr>
            </w:pPr>
            <w:r w:rsidRPr="00BE616A">
              <w:rPr>
                <w:sz w:val="16"/>
              </w:rPr>
              <w:lastRenderedPageBreak/>
              <w:t>‘Hydrogen in Pipeline Systems</w:t>
            </w:r>
            <w:r>
              <w:rPr>
                <w:sz w:val="16"/>
              </w:rPr>
              <w:t>’</w:t>
            </w:r>
          </w:p>
        </w:tc>
        <w:tc>
          <w:tcPr>
            <w:tcW w:w="1417" w:type="dxa"/>
            <w:tcBorders>
              <w:top w:val="single" w:sz="4" w:space="0" w:color="auto"/>
              <w:left w:val="nil"/>
              <w:bottom w:val="single" w:sz="4" w:space="0" w:color="auto"/>
              <w:right w:val="nil"/>
            </w:tcBorders>
            <w:vAlign w:val="center"/>
          </w:tcPr>
          <w:p w14:paraId="4E5AB11D" w14:textId="77777777" w:rsidR="007F1021" w:rsidRDefault="007F1021" w:rsidP="00F668C6">
            <w:pPr>
              <w:autoSpaceDE w:val="0"/>
              <w:autoSpaceDN w:val="0"/>
              <w:adjustRightInd w:val="0"/>
              <w:spacing w:before="60" w:after="60"/>
              <w:jc w:val="both"/>
              <w:rPr>
                <w:sz w:val="16"/>
              </w:rPr>
            </w:pPr>
            <w:r>
              <w:rPr>
                <w:sz w:val="16"/>
              </w:rPr>
              <w:lastRenderedPageBreak/>
              <w:t>Europe</w:t>
            </w:r>
          </w:p>
        </w:tc>
        <w:tc>
          <w:tcPr>
            <w:tcW w:w="1417" w:type="dxa"/>
            <w:tcBorders>
              <w:top w:val="single" w:sz="4" w:space="0" w:color="auto"/>
              <w:left w:val="nil"/>
              <w:bottom w:val="single" w:sz="4" w:space="0" w:color="auto"/>
              <w:right w:val="nil"/>
            </w:tcBorders>
            <w:shd w:val="clear" w:color="auto" w:fill="auto"/>
            <w:vAlign w:val="center"/>
          </w:tcPr>
          <w:p w14:paraId="0849823A" w14:textId="77777777" w:rsidR="007F1021" w:rsidRDefault="007F1021" w:rsidP="00F668C6">
            <w:pPr>
              <w:autoSpaceDE w:val="0"/>
              <w:autoSpaceDN w:val="0"/>
              <w:adjustRightInd w:val="0"/>
              <w:spacing w:before="60" w:after="60"/>
              <w:jc w:val="both"/>
              <w:rPr>
                <w:sz w:val="16"/>
              </w:rPr>
            </w:pPr>
            <w:r w:rsidRPr="00A77007">
              <w:rPr>
                <w:sz w:val="16"/>
              </w:rPr>
              <w:t>2011-2013</w:t>
            </w:r>
          </w:p>
        </w:tc>
        <w:tc>
          <w:tcPr>
            <w:tcW w:w="4252" w:type="dxa"/>
            <w:tcBorders>
              <w:top w:val="single" w:sz="4" w:space="0" w:color="auto"/>
              <w:left w:val="nil"/>
              <w:bottom w:val="single" w:sz="4" w:space="0" w:color="auto"/>
              <w:right w:val="nil"/>
            </w:tcBorders>
            <w:shd w:val="clear" w:color="auto" w:fill="auto"/>
            <w:vAlign w:val="center"/>
          </w:tcPr>
          <w:p w14:paraId="071592A3" w14:textId="77777777" w:rsidR="007F1021" w:rsidRPr="00EC35AE" w:rsidRDefault="007F1021" w:rsidP="00F668C6">
            <w:pPr>
              <w:autoSpaceDE w:val="0"/>
              <w:autoSpaceDN w:val="0"/>
              <w:adjustRightInd w:val="0"/>
              <w:spacing w:before="60" w:after="60"/>
              <w:jc w:val="both"/>
              <w:rPr>
                <w:rFonts w:cs="Verdana"/>
                <w:sz w:val="16"/>
                <w:szCs w:val="16"/>
                <w:lang w:eastAsia="es-ES"/>
              </w:rPr>
            </w:pPr>
            <w:r w:rsidRPr="00145D2D">
              <w:rPr>
                <w:rFonts w:cs="Verdana"/>
                <w:sz w:val="16"/>
                <w:szCs w:val="16"/>
                <w:lang w:eastAsia="es-ES"/>
              </w:rPr>
              <w:t xml:space="preserve">To </w:t>
            </w:r>
            <w:r>
              <w:rPr>
                <w:rFonts w:cs="Verdana"/>
                <w:sz w:val="16"/>
                <w:szCs w:val="16"/>
                <w:lang w:eastAsia="es-ES"/>
              </w:rPr>
              <w:t>evaluate the impact of hydrogen in the natural gas system</w:t>
            </w:r>
            <w:r w:rsidRPr="00BE616A">
              <w:rPr>
                <w:rFonts w:cs="Verdana"/>
                <w:sz w:val="16"/>
                <w:szCs w:val="16"/>
                <w:lang w:eastAsia="es-ES"/>
              </w:rPr>
              <w:t>.</w:t>
            </w:r>
          </w:p>
        </w:tc>
      </w:tr>
      <w:tr w:rsidR="007F1021" w:rsidRPr="007708FC" w14:paraId="2DE6FC1E" w14:textId="77777777" w:rsidTr="00B26C13">
        <w:trPr>
          <w:trHeight w:val="283"/>
          <w:jc w:val="center"/>
        </w:trPr>
        <w:tc>
          <w:tcPr>
            <w:tcW w:w="1984" w:type="dxa"/>
            <w:tcBorders>
              <w:top w:val="single" w:sz="4" w:space="0" w:color="auto"/>
              <w:left w:val="nil"/>
              <w:bottom w:val="single" w:sz="4" w:space="0" w:color="auto"/>
              <w:right w:val="nil"/>
            </w:tcBorders>
            <w:shd w:val="clear" w:color="auto" w:fill="auto"/>
            <w:vAlign w:val="center"/>
          </w:tcPr>
          <w:p w14:paraId="6493A02E" w14:textId="77777777" w:rsidR="007F1021" w:rsidRPr="008750D3" w:rsidRDefault="007F1021" w:rsidP="00F668C6">
            <w:pPr>
              <w:autoSpaceDE w:val="0"/>
              <w:autoSpaceDN w:val="0"/>
              <w:adjustRightInd w:val="0"/>
              <w:spacing w:before="60" w:after="60"/>
              <w:jc w:val="both"/>
              <w:rPr>
                <w:b/>
                <w:bCs/>
                <w:sz w:val="16"/>
                <w:lang w:val="nl-NL"/>
              </w:rPr>
            </w:pPr>
            <w:r w:rsidRPr="008750D3">
              <w:rPr>
                <w:b/>
                <w:bCs/>
                <w:sz w:val="16"/>
                <w:lang w:val="nl-NL"/>
              </w:rPr>
              <w:t>HIPS-NET</w:t>
            </w:r>
          </w:p>
          <w:p w14:paraId="0E74E419" w14:textId="77777777" w:rsidR="007F1021" w:rsidRPr="008750D3" w:rsidRDefault="007F1021" w:rsidP="00F668C6">
            <w:pPr>
              <w:autoSpaceDE w:val="0"/>
              <w:autoSpaceDN w:val="0"/>
              <w:adjustRightInd w:val="0"/>
              <w:spacing w:before="60" w:after="60"/>
              <w:jc w:val="both"/>
              <w:rPr>
                <w:b/>
                <w:bCs/>
                <w:sz w:val="16"/>
                <w:lang w:val="nl-NL"/>
              </w:rPr>
            </w:pPr>
            <w:r w:rsidRPr="008750D3">
              <w:rPr>
                <w:sz w:val="16"/>
                <w:lang w:val="nl-NL"/>
              </w:rPr>
              <w:t>‘Hydrogen in Pipeline Systems - Network’</w:t>
            </w:r>
          </w:p>
        </w:tc>
        <w:tc>
          <w:tcPr>
            <w:tcW w:w="1417" w:type="dxa"/>
            <w:tcBorders>
              <w:top w:val="single" w:sz="4" w:space="0" w:color="auto"/>
              <w:left w:val="nil"/>
              <w:bottom w:val="single" w:sz="4" w:space="0" w:color="auto"/>
              <w:right w:val="nil"/>
            </w:tcBorders>
            <w:vAlign w:val="center"/>
          </w:tcPr>
          <w:p w14:paraId="355F4F53" w14:textId="77777777" w:rsidR="007F1021" w:rsidRDefault="007F1021" w:rsidP="00F668C6">
            <w:pPr>
              <w:autoSpaceDE w:val="0"/>
              <w:autoSpaceDN w:val="0"/>
              <w:adjustRightInd w:val="0"/>
              <w:spacing w:before="60" w:after="60"/>
              <w:jc w:val="both"/>
              <w:rPr>
                <w:sz w:val="16"/>
              </w:rPr>
            </w:pPr>
            <w:r>
              <w:rPr>
                <w:sz w:val="16"/>
              </w:rPr>
              <w:t>Europe</w:t>
            </w:r>
          </w:p>
        </w:tc>
        <w:tc>
          <w:tcPr>
            <w:tcW w:w="1417" w:type="dxa"/>
            <w:tcBorders>
              <w:top w:val="single" w:sz="4" w:space="0" w:color="auto"/>
              <w:left w:val="nil"/>
              <w:bottom w:val="single" w:sz="4" w:space="0" w:color="auto"/>
              <w:right w:val="nil"/>
            </w:tcBorders>
            <w:shd w:val="clear" w:color="auto" w:fill="auto"/>
            <w:vAlign w:val="center"/>
          </w:tcPr>
          <w:p w14:paraId="2472FE7E" w14:textId="77777777" w:rsidR="007F1021" w:rsidRDefault="007F1021" w:rsidP="00F668C6">
            <w:pPr>
              <w:autoSpaceDE w:val="0"/>
              <w:autoSpaceDN w:val="0"/>
              <w:adjustRightInd w:val="0"/>
              <w:spacing w:before="60" w:after="60"/>
              <w:jc w:val="both"/>
              <w:rPr>
                <w:sz w:val="16"/>
              </w:rPr>
            </w:pPr>
            <w:r>
              <w:rPr>
                <w:sz w:val="16"/>
              </w:rPr>
              <w:t>2013-TBD</w:t>
            </w:r>
          </w:p>
        </w:tc>
        <w:tc>
          <w:tcPr>
            <w:tcW w:w="4252" w:type="dxa"/>
            <w:tcBorders>
              <w:top w:val="single" w:sz="4" w:space="0" w:color="auto"/>
              <w:left w:val="nil"/>
              <w:bottom w:val="single" w:sz="4" w:space="0" w:color="auto"/>
              <w:right w:val="nil"/>
            </w:tcBorders>
            <w:shd w:val="clear" w:color="auto" w:fill="auto"/>
            <w:vAlign w:val="center"/>
          </w:tcPr>
          <w:p w14:paraId="6A99EB5B" w14:textId="77777777" w:rsidR="007F1021" w:rsidRPr="00145D2D" w:rsidRDefault="007F1021" w:rsidP="00F668C6">
            <w:pPr>
              <w:autoSpaceDE w:val="0"/>
              <w:autoSpaceDN w:val="0"/>
              <w:adjustRightInd w:val="0"/>
              <w:spacing w:before="60" w:after="60"/>
              <w:jc w:val="both"/>
              <w:rPr>
                <w:rFonts w:cs="Verdana"/>
                <w:sz w:val="16"/>
                <w:szCs w:val="16"/>
                <w:lang w:eastAsia="es-ES"/>
              </w:rPr>
            </w:pPr>
            <w:r w:rsidRPr="00145D2D">
              <w:rPr>
                <w:rFonts w:cs="Verdana"/>
                <w:sz w:val="16"/>
                <w:szCs w:val="16"/>
                <w:lang w:eastAsia="es-ES"/>
              </w:rPr>
              <w:t xml:space="preserve">To </w:t>
            </w:r>
            <w:r w:rsidRPr="00BE616A">
              <w:rPr>
                <w:rFonts w:cs="Verdana"/>
                <w:sz w:val="16"/>
                <w:szCs w:val="16"/>
                <w:lang w:eastAsia="es-ES"/>
              </w:rPr>
              <w:t>establish a common European understanding o</w:t>
            </w:r>
            <w:r>
              <w:rPr>
                <w:rFonts w:cs="Verdana"/>
                <w:sz w:val="16"/>
                <w:szCs w:val="16"/>
                <w:lang w:eastAsia="es-ES"/>
              </w:rPr>
              <w:t>f</w:t>
            </w:r>
            <w:r w:rsidRPr="00BE616A">
              <w:rPr>
                <w:rFonts w:cs="Verdana"/>
                <w:sz w:val="16"/>
                <w:szCs w:val="16"/>
                <w:lang w:eastAsia="es-ES"/>
              </w:rPr>
              <w:t xml:space="preserve"> the H</w:t>
            </w:r>
            <w:r w:rsidRPr="00BE616A">
              <w:rPr>
                <w:rFonts w:cs="Verdana"/>
                <w:sz w:val="16"/>
                <w:szCs w:val="16"/>
                <w:vertAlign w:val="subscript"/>
                <w:lang w:eastAsia="es-ES"/>
              </w:rPr>
              <w:t>2</w:t>
            </w:r>
            <w:r w:rsidRPr="00BE616A">
              <w:rPr>
                <w:rFonts w:cs="Verdana"/>
                <w:sz w:val="16"/>
                <w:szCs w:val="16"/>
                <w:lang w:eastAsia="es-ES"/>
              </w:rPr>
              <w:t xml:space="preserve"> tolerance of the existing natural gas grid.</w:t>
            </w:r>
          </w:p>
        </w:tc>
      </w:tr>
      <w:tr w:rsidR="007F1021" w:rsidRPr="007708FC" w14:paraId="7D62241F" w14:textId="77777777" w:rsidTr="00B26C13">
        <w:trPr>
          <w:trHeight w:val="283"/>
          <w:jc w:val="center"/>
        </w:trPr>
        <w:tc>
          <w:tcPr>
            <w:tcW w:w="1984" w:type="dxa"/>
            <w:tcBorders>
              <w:top w:val="single" w:sz="4" w:space="0" w:color="auto"/>
              <w:left w:val="nil"/>
              <w:bottom w:val="single" w:sz="4" w:space="0" w:color="auto"/>
              <w:right w:val="nil"/>
            </w:tcBorders>
            <w:shd w:val="clear" w:color="auto" w:fill="auto"/>
            <w:vAlign w:val="center"/>
          </w:tcPr>
          <w:p w14:paraId="1162E09F" w14:textId="77777777" w:rsidR="007F1021" w:rsidRDefault="007F1021" w:rsidP="00F668C6">
            <w:pPr>
              <w:autoSpaceDE w:val="0"/>
              <w:autoSpaceDN w:val="0"/>
              <w:adjustRightInd w:val="0"/>
              <w:spacing w:before="60" w:after="60"/>
              <w:jc w:val="both"/>
              <w:rPr>
                <w:b/>
                <w:bCs/>
                <w:sz w:val="16"/>
              </w:rPr>
            </w:pPr>
            <w:r>
              <w:rPr>
                <w:b/>
                <w:bCs/>
                <w:sz w:val="16"/>
              </w:rPr>
              <w:t>HYREADY</w:t>
            </w:r>
          </w:p>
          <w:p w14:paraId="194FDF73" w14:textId="77777777" w:rsidR="007F1021" w:rsidRDefault="007F1021" w:rsidP="00F668C6">
            <w:pPr>
              <w:autoSpaceDE w:val="0"/>
              <w:autoSpaceDN w:val="0"/>
              <w:adjustRightInd w:val="0"/>
              <w:spacing w:before="60" w:after="60"/>
              <w:jc w:val="both"/>
              <w:rPr>
                <w:b/>
                <w:bCs/>
                <w:sz w:val="16"/>
              </w:rPr>
            </w:pPr>
            <w:r w:rsidRPr="00BE616A">
              <w:rPr>
                <w:sz w:val="16"/>
              </w:rPr>
              <w:t>‘Engineering Guidelines for Preparing Natural Gas Networks for Hydrogen Injection</w:t>
            </w:r>
            <w:r>
              <w:rPr>
                <w:sz w:val="16"/>
              </w:rPr>
              <w:t>’</w:t>
            </w:r>
          </w:p>
        </w:tc>
        <w:tc>
          <w:tcPr>
            <w:tcW w:w="1417" w:type="dxa"/>
            <w:tcBorders>
              <w:top w:val="single" w:sz="4" w:space="0" w:color="auto"/>
              <w:left w:val="nil"/>
              <w:bottom w:val="single" w:sz="4" w:space="0" w:color="auto"/>
              <w:right w:val="nil"/>
            </w:tcBorders>
            <w:vAlign w:val="center"/>
          </w:tcPr>
          <w:p w14:paraId="283BEE49" w14:textId="77777777" w:rsidR="007F1021" w:rsidRDefault="007F1021" w:rsidP="00F668C6">
            <w:pPr>
              <w:autoSpaceDE w:val="0"/>
              <w:autoSpaceDN w:val="0"/>
              <w:adjustRightInd w:val="0"/>
              <w:spacing w:before="60" w:after="60"/>
              <w:jc w:val="both"/>
              <w:rPr>
                <w:sz w:val="16"/>
              </w:rPr>
            </w:pPr>
            <w:r>
              <w:rPr>
                <w:sz w:val="16"/>
              </w:rPr>
              <w:t>Europe</w:t>
            </w:r>
          </w:p>
        </w:tc>
        <w:tc>
          <w:tcPr>
            <w:tcW w:w="1417" w:type="dxa"/>
            <w:tcBorders>
              <w:top w:val="single" w:sz="4" w:space="0" w:color="auto"/>
              <w:left w:val="nil"/>
              <w:bottom w:val="single" w:sz="4" w:space="0" w:color="auto"/>
              <w:right w:val="nil"/>
            </w:tcBorders>
            <w:shd w:val="clear" w:color="auto" w:fill="auto"/>
            <w:vAlign w:val="center"/>
          </w:tcPr>
          <w:p w14:paraId="1E312024" w14:textId="77777777" w:rsidR="007F1021" w:rsidRDefault="007F1021" w:rsidP="00F668C6">
            <w:pPr>
              <w:autoSpaceDE w:val="0"/>
              <w:autoSpaceDN w:val="0"/>
              <w:adjustRightInd w:val="0"/>
              <w:spacing w:before="60" w:after="60"/>
              <w:jc w:val="both"/>
              <w:rPr>
                <w:sz w:val="16"/>
              </w:rPr>
            </w:pPr>
            <w:r>
              <w:rPr>
                <w:sz w:val="16"/>
              </w:rPr>
              <w:t>2017-TBD</w:t>
            </w:r>
          </w:p>
        </w:tc>
        <w:tc>
          <w:tcPr>
            <w:tcW w:w="4252" w:type="dxa"/>
            <w:tcBorders>
              <w:top w:val="single" w:sz="4" w:space="0" w:color="auto"/>
              <w:left w:val="nil"/>
              <w:bottom w:val="single" w:sz="4" w:space="0" w:color="auto"/>
              <w:right w:val="nil"/>
            </w:tcBorders>
            <w:shd w:val="clear" w:color="auto" w:fill="auto"/>
            <w:vAlign w:val="center"/>
          </w:tcPr>
          <w:p w14:paraId="5DAAD2B4" w14:textId="77777777" w:rsidR="007F1021" w:rsidRPr="00145D2D" w:rsidRDefault="007F1021" w:rsidP="00F668C6">
            <w:pPr>
              <w:autoSpaceDE w:val="0"/>
              <w:autoSpaceDN w:val="0"/>
              <w:adjustRightInd w:val="0"/>
              <w:spacing w:before="60" w:after="60"/>
              <w:jc w:val="both"/>
              <w:rPr>
                <w:rFonts w:cs="Verdana"/>
                <w:sz w:val="16"/>
                <w:szCs w:val="16"/>
                <w:lang w:eastAsia="es-ES"/>
              </w:rPr>
            </w:pPr>
            <w:r w:rsidRPr="00145D2D">
              <w:rPr>
                <w:rFonts w:cs="Verdana"/>
                <w:sz w:val="16"/>
                <w:szCs w:val="16"/>
                <w:lang w:eastAsia="es-ES"/>
              </w:rPr>
              <w:t>To prepare guidelines for TSOs and DSOs to support the</w:t>
            </w:r>
            <w:r>
              <w:rPr>
                <w:rFonts w:cs="Verdana"/>
                <w:sz w:val="16"/>
                <w:szCs w:val="16"/>
                <w:lang w:eastAsia="es-ES"/>
              </w:rPr>
              <w:t xml:space="preserve"> </w:t>
            </w:r>
            <w:r w:rsidRPr="00145D2D">
              <w:rPr>
                <w:rFonts w:cs="Verdana"/>
                <w:sz w:val="16"/>
                <w:szCs w:val="16"/>
                <w:lang w:eastAsia="es-ES"/>
              </w:rPr>
              <w:t>preparation of natural gas networks and operations for the</w:t>
            </w:r>
            <w:r>
              <w:rPr>
                <w:rFonts w:cs="Verdana"/>
                <w:sz w:val="16"/>
                <w:szCs w:val="16"/>
                <w:lang w:eastAsia="es-ES"/>
              </w:rPr>
              <w:t xml:space="preserve"> </w:t>
            </w:r>
            <w:r w:rsidRPr="00145D2D">
              <w:rPr>
                <w:rFonts w:cs="Verdana"/>
                <w:sz w:val="16"/>
                <w:szCs w:val="16"/>
                <w:lang w:eastAsia="es-ES"/>
              </w:rPr>
              <w:t>injection of H</w:t>
            </w:r>
            <w:r w:rsidRPr="00BE616A">
              <w:rPr>
                <w:rFonts w:cs="Verdana"/>
                <w:sz w:val="16"/>
                <w:szCs w:val="16"/>
                <w:vertAlign w:val="subscript"/>
                <w:lang w:eastAsia="es-ES"/>
              </w:rPr>
              <w:t>2</w:t>
            </w:r>
            <w:r w:rsidRPr="00145D2D">
              <w:rPr>
                <w:rFonts w:cs="Verdana"/>
                <w:sz w:val="16"/>
                <w:szCs w:val="16"/>
                <w:lang w:eastAsia="es-ES"/>
              </w:rPr>
              <w:t xml:space="preserve"> (pure and as a gas component) with acceptable</w:t>
            </w:r>
            <w:r>
              <w:rPr>
                <w:rFonts w:cs="Verdana"/>
                <w:sz w:val="16"/>
                <w:szCs w:val="16"/>
                <w:lang w:eastAsia="es-ES"/>
              </w:rPr>
              <w:t xml:space="preserve"> </w:t>
            </w:r>
            <w:r w:rsidRPr="00BE616A">
              <w:rPr>
                <w:rFonts w:cs="Verdana"/>
                <w:sz w:val="16"/>
                <w:szCs w:val="16"/>
                <w:lang w:eastAsia="es-ES"/>
              </w:rPr>
              <w:t>consequences.</w:t>
            </w:r>
          </w:p>
        </w:tc>
      </w:tr>
      <w:tr w:rsidR="007F1021" w:rsidRPr="007708FC" w14:paraId="1E886FD5" w14:textId="77777777" w:rsidTr="00B26C13">
        <w:trPr>
          <w:trHeight w:val="283"/>
          <w:jc w:val="center"/>
        </w:trPr>
        <w:tc>
          <w:tcPr>
            <w:tcW w:w="1984" w:type="dxa"/>
            <w:tcBorders>
              <w:top w:val="single" w:sz="4" w:space="0" w:color="auto"/>
              <w:left w:val="nil"/>
              <w:bottom w:val="single" w:sz="4" w:space="0" w:color="auto"/>
              <w:right w:val="nil"/>
            </w:tcBorders>
            <w:shd w:val="clear" w:color="auto" w:fill="auto"/>
            <w:vAlign w:val="center"/>
          </w:tcPr>
          <w:p w14:paraId="3910A635" w14:textId="77777777" w:rsidR="007F1021" w:rsidRPr="00121308" w:rsidRDefault="007F1021" w:rsidP="00F668C6">
            <w:pPr>
              <w:autoSpaceDE w:val="0"/>
              <w:autoSpaceDN w:val="0"/>
              <w:adjustRightInd w:val="0"/>
              <w:spacing w:before="60" w:after="60"/>
              <w:jc w:val="both"/>
              <w:rPr>
                <w:b/>
                <w:bCs/>
                <w:sz w:val="16"/>
              </w:rPr>
            </w:pPr>
            <w:r w:rsidRPr="00121308">
              <w:rPr>
                <w:b/>
                <w:bCs/>
                <w:sz w:val="16"/>
              </w:rPr>
              <w:t>NewGasMet</w:t>
            </w:r>
          </w:p>
          <w:p w14:paraId="4EC51D4A" w14:textId="77777777" w:rsidR="007F1021" w:rsidRDefault="007F1021" w:rsidP="00F668C6">
            <w:pPr>
              <w:autoSpaceDE w:val="0"/>
              <w:autoSpaceDN w:val="0"/>
              <w:adjustRightInd w:val="0"/>
              <w:spacing w:before="60" w:after="60"/>
              <w:jc w:val="both"/>
              <w:rPr>
                <w:sz w:val="16"/>
              </w:rPr>
            </w:pPr>
            <w:r>
              <w:rPr>
                <w:sz w:val="16"/>
              </w:rPr>
              <w:t>‘</w:t>
            </w:r>
            <w:r w:rsidRPr="00121308">
              <w:rPr>
                <w:sz w:val="16"/>
              </w:rPr>
              <w:t>Flow metering of renewable gases</w:t>
            </w:r>
            <w:r>
              <w:rPr>
                <w:sz w:val="16"/>
              </w:rPr>
              <w:t>’</w:t>
            </w:r>
          </w:p>
        </w:tc>
        <w:tc>
          <w:tcPr>
            <w:tcW w:w="1417" w:type="dxa"/>
            <w:tcBorders>
              <w:top w:val="single" w:sz="4" w:space="0" w:color="auto"/>
              <w:left w:val="nil"/>
              <w:bottom w:val="single" w:sz="4" w:space="0" w:color="auto"/>
              <w:right w:val="nil"/>
            </w:tcBorders>
            <w:vAlign w:val="center"/>
          </w:tcPr>
          <w:p w14:paraId="7B017825" w14:textId="77777777" w:rsidR="007F1021" w:rsidRPr="008742FB" w:rsidRDefault="007F1021" w:rsidP="00F668C6">
            <w:pPr>
              <w:autoSpaceDE w:val="0"/>
              <w:autoSpaceDN w:val="0"/>
              <w:adjustRightInd w:val="0"/>
              <w:spacing w:before="60" w:after="60"/>
              <w:jc w:val="both"/>
              <w:rPr>
                <w:sz w:val="16"/>
              </w:rPr>
            </w:pPr>
            <w:r>
              <w:rPr>
                <w:sz w:val="16"/>
              </w:rPr>
              <w:t>Europe</w:t>
            </w:r>
          </w:p>
        </w:tc>
        <w:tc>
          <w:tcPr>
            <w:tcW w:w="1417" w:type="dxa"/>
            <w:tcBorders>
              <w:top w:val="single" w:sz="4" w:space="0" w:color="auto"/>
              <w:left w:val="nil"/>
              <w:bottom w:val="single" w:sz="4" w:space="0" w:color="auto"/>
              <w:right w:val="nil"/>
            </w:tcBorders>
            <w:shd w:val="clear" w:color="auto" w:fill="auto"/>
            <w:vAlign w:val="center"/>
          </w:tcPr>
          <w:p w14:paraId="026B2299" w14:textId="77777777" w:rsidR="007F1021" w:rsidRPr="008742FB" w:rsidRDefault="007F1021" w:rsidP="00F668C6">
            <w:pPr>
              <w:autoSpaceDE w:val="0"/>
              <w:autoSpaceDN w:val="0"/>
              <w:adjustRightInd w:val="0"/>
              <w:spacing w:before="60" w:after="60"/>
              <w:jc w:val="both"/>
              <w:rPr>
                <w:sz w:val="16"/>
              </w:rPr>
            </w:pPr>
            <w:r>
              <w:rPr>
                <w:sz w:val="16"/>
              </w:rPr>
              <w:t>2019-2022</w:t>
            </w:r>
          </w:p>
        </w:tc>
        <w:tc>
          <w:tcPr>
            <w:tcW w:w="4252" w:type="dxa"/>
            <w:tcBorders>
              <w:top w:val="single" w:sz="4" w:space="0" w:color="auto"/>
              <w:left w:val="nil"/>
              <w:bottom w:val="single" w:sz="4" w:space="0" w:color="auto"/>
              <w:right w:val="nil"/>
            </w:tcBorders>
            <w:shd w:val="clear" w:color="auto" w:fill="auto"/>
            <w:vAlign w:val="center"/>
          </w:tcPr>
          <w:p w14:paraId="631B047F" w14:textId="77777777" w:rsidR="007F1021" w:rsidRPr="008742FB" w:rsidRDefault="007F1021" w:rsidP="00F668C6">
            <w:pPr>
              <w:autoSpaceDE w:val="0"/>
              <w:autoSpaceDN w:val="0"/>
              <w:adjustRightInd w:val="0"/>
              <w:spacing w:before="60" w:after="60"/>
              <w:jc w:val="both"/>
              <w:rPr>
                <w:rFonts w:cs="Verdana"/>
                <w:sz w:val="16"/>
                <w:szCs w:val="16"/>
                <w:lang w:eastAsia="es-ES"/>
              </w:rPr>
            </w:pPr>
            <w:r>
              <w:rPr>
                <w:rFonts w:cs="Verdana"/>
                <w:sz w:val="16"/>
                <w:szCs w:val="16"/>
                <w:lang w:eastAsia="es-ES"/>
              </w:rPr>
              <w:t>T</w:t>
            </w:r>
            <w:r w:rsidRPr="00121308">
              <w:rPr>
                <w:rFonts w:cs="Verdana"/>
                <w:sz w:val="16"/>
                <w:szCs w:val="16"/>
                <w:lang w:eastAsia="es-ES"/>
              </w:rPr>
              <w:t>o increase knowledge about the accuracy and durability of commercially available gas meters after exposure to renewable gases</w:t>
            </w:r>
            <w:r>
              <w:rPr>
                <w:rFonts w:cs="Verdana"/>
                <w:sz w:val="16"/>
                <w:szCs w:val="16"/>
                <w:lang w:eastAsia="es-ES"/>
              </w:rPr>
              <w:t>, which</w:t>
            </w:r>
            <w:r w:rsidRPr="00121308">
              <w:rPr>
                <w:rFonts w:cs="Verdana"/>
                <w:sz w:val="16"/>
                <w:szCs w:val="16"/>
                <w:lang w:eastAsia="es-ES"/>
              </w:rPr>
              <w:t xml:space="preserve"> should lead to </w:t>
            </w:r>
            <w:r>
              <w:rPr>
                <w:rFonts w:cs="Verdana"/>
                <w:sz w:val="16"/>
                <w:szCs w:val="16"/>
                <w:lang w:eastAsia="es-ES"/>
              </w:rPr>
              <w:t>improving</w:t>
            </w:r>
            <w:r w:rsidRPr="00121308">
              <w:rPr>
                <w:rFonts w:cs="Verdana"/>
                <w:sz w:val="16"/>
                <w:szCs w:val="16"/>
                <w:lang w:eastAsia="es-ES"/>
              </w:rPr>
              <w:t xml:space="preserve"> existing meter designs and flow calibration standards.</w:t>
            </w:r>
          </w:p>
        </w:tc>
      </w:tr>
      <w:tr w:rsidR="007F1021" w:rsidRPr="007708FC" w14:paraId="1D9C0059" w14:textId="77777777" w:rsidTr="00B26C13">
        <w:trPr>
          <w:trHeight w:val="283"/>
          <w:jc w:val="center"/>
        </w:trPr>
        <w:tc>
          <w:tcPr>
            <w:tcW w:w="1984" w:type="dxa"/>
            <w:tcBorders>
              <w:top w:val="single" w:sz="4" w:space="0" w:color="auto"/>
              <w:left w:val="nil"/>
              <w:bottom w:val="single" w:sz="4" w:space="0" w:color="auto"/>
              <w:right w:val="nil"/>
            </w:tcBorders>
            <w:shd w:val="clear" w:color="auto" w:fill="auto"/>
            <w:vAlign w:val="center"/>
          </w:tcPr>
          <w:p w14:paraId="7336F3E0" w14:textId="77777777" w:rsidR="007F1021" w:rsidRPr="00121308" w:rsidRDefault="007F1021" w:rsidP="00F668C6">
            <w:pPr>
              <w:autoSpaceDE w:val="0"/>
              <w:autoSpaceDN w:val="0"/>
              <w:adjustRightInd w:val="0"/>
              <w:spacing w:before="60" w:after="60"/>
              <w:jc w:val="both"/>
              <w:rPr>
                <w:b/>
                <w:bCs/>
                <w:sz w:val="16"/>
              </w:rPr>
            </w:pPr>
            <w:r>
              <w:rPr>
                <w:b/>
                <w:bCs/>
                <w:sz w:val="16"/>
              </w:rPr>
              <w:t>CEN/GERG PNR H2NG and H2 in NG systems</w:t>
            </w:r>
          </w:p>
        </w:tc>
        <w:tc>
          <w:tcPr>
            <w:tcW w:w="1417" w:type="dxa"/>
            <w:tcBorders>
              <w:top w:val="single" w:sz="4" w:space="0" w:color="auto"/>
              <w:left w:val="nil"/>
              <w:bottom w:val="single" w:sz="4" w:space="0" w:color="auto"/>
              <w:right w:val="nil"/>
            </w:tcBorders>
            <w:vAlign w:val="center"/>
          </w:tcPr>
          <w:p w14:paraId="1E36CCBE" w14:textId="77777777" w:rsidR="007F1021" w:rsidRDefault="007F1021" w:rsidP="00F668C6">
            <w:pPr>
              <w:autoSpaceDE w:val="0"/>
              <w:autoSpaceDN w:val="0"/>
              <w:adjustRightInd w:val="0"/>
              <w:spacing w:before="60" w:after="60"/>
              <w:jc w:val="both"/>
              <w:rPr>
                <w:sz w:val="16"/>
              </w:rPr>
            </w:pPr>
            <w:r>
              <w:rPr>
                <w:sz w:val="16"/>
              </w:rPr>
              <w:t>Europe</w:t>
            </w:r>
          </w:p>
        </w:tc>
        <w:tc>
          <w:tcPr>
            <w:tcW w:w="1417" w:type="dxa"/>
            <w:tcBorders>
              <w:top w:val="single" w:sz="4" w:space="0" w:color="auto"/>
              <w:left w:val="nil"/>
              <w:bottom w:val="single" w:sz="4" w:space="0" w:color="auto"/>
              <w:right w:val="nil"/>
            </w:tcBorders>
            <w:shd w:val="clear" w:color="auto" w:fill="auto"/>
            <w:vAlign w:val="center"/>
          </w:tcPr>
          <w:p w14:paraId="37594BF2" w14:textId="77777777" w:rsidR="007F1021" w:rsidRDefault="007F1021" w:rsidP="00F668C6">
            <w:pPr>
              <w:autoSpaceDE w:val="0"/>
              <w:autoSpaceDN w:val="0"/>
              <w:adjustRightInd w:val="0"/>
              <w:spacing w:before="60" w:after="60"/>
              <w:jc w:val="both"/>
              <w:rPr>
                <w:sz w:val="16"/>
              </w:rPr>
            </w:pPr>
            <w:r>
              <w:rPr>
                <w:sz w:val="16"/>
              </w:rPr>
              <w:t>2020-2021</w:t>
            </w:r>
          </w:p>
        </w:tc>
        <w:tc>
          <w:tcPr>
            <w:tcW w:w="4252" w:type="dxa"/>
            <w:tcBorders>
              <w:top w:val="single" w:sz="4" w:space="0" w:color="auto"/>
              <w:left w:val="nil"/>
              <w:bottom w:val="single" w:sz="4" w:space="0" w:color="auto"/>
              <w:right w:val="nil"/>
            </w:tcBorders>
            <w:shd w:val="clear" w:color="auto" w:fill="auto"/>
            <w:vAlign w:val="center"/>
          </w:tcPr>
          <w:p w14:paraId="77C36238" w14:textId="77777777" w:rsidR="007F1021" w:rsidRPr="00121308" w:rsidRDefault="007F1021" w:rsidP="00F668C6">
            <w:pPr>
              <w:autoSpaceDE w:val="0"/>
              <w:autoSpaceDN w:val="0"/>
              <w:adjustRightInd w:val="0"/>
              <w:spacing w:before="60" w:after="60"/>
              <w:jc w:val="both"/>
              <w:rPr>
                <w:rFonts w:cs="Verdana"/>
                <w:sz w:val="16"/>
                <w:szCs w:val="16"/>
                <w:lang w:eastAsia="es-ES"/>
              </w:rPr>
            </w:pPr>
            <w:proofErr w:type="spellStart"/>
            <w:r>
              <w:rPr>
                <w:rFonts w:cs="Verdana"/>
                <w:sz w:val="16"/>
                <w:szCs w:val="16"/>
                <w:lang w:eastAsia="es-ES"/>
              </w:rPr>
              <w:t>Prenormative</w:t>
            </w:r>
            <w:proofErr w:type="spellEnd"/>
            <w:r>
              <w:rPr>
                <w:rFonts w:cs="Verdana"/>
                <w:sz w:val="16"/>
                <w:szCs w:val="16"/>
                <w:lang w:eastAsia="es-ES"/>
              </w:rPr>
              <w:t xml:space="preserve"> study ‘Removing the technical barriers to use of hydrogen in natural gas networks and for (natural) gas end users’. Eight priorities areas for study (safety, gas quality, underground storage, power generation, industrial use, steel pipes, network equipment and appliances).</w:t>
            </w:r>
          </w:p>
        </w:tc>
      </w:tr>
      <w:tr w:rsidR="007F1021" w:rsidRPr="007708FC" w14:paraId="6FF4EA87" w14:textId="77777777" w:rsidTr="00B26C13">
        <w:trPr>
          <w:trHeight w:val="283"/>
          <w:jc w:val="center"/>
        </w:trPr>
        <w:tc>
          <w:tcPr>
            <w:tcW w:w="1984" w:type="dxa"/>
            <w:tcBorders>
              <w:top w:val="single" w:sz="4" w:space="0" w:color="auto"/>
              <w:left w:val="nil"/>
              <w:bottom w:val="single" w:sz="4" w:space="0" w:color="auto"/>
              <w:right w:val="nil"/>
            </w:tcBorders>
            <w:shd w:val="clear" w:color="auto" w:fill="auto"/>
            <w:vAlign w:val="center"/>
          </w:tcPr>
          <w:p w14:paraId="04C60F82" w14:textId="77777777" w:rsidR="007F1021" w:rsidRPr="00121308" w:rsidRDefault="007F1021" w:rsidP="00F668C6">
            <w:pPr>
              <w:autoSpaceDE w:val="0"/>
              <w:autoSpaceDN w:val="0"/>
              <w:adjustRightInd w:val="0"/>
              <w:spacing w:before="60" w:after="60"/>
              <w:jc w:val="both"/>
              <w:rPr>
                <w:b/>
                <w:bCs/>
                <w:sz w:val="16"/>
              </w:rPr>
            </w:pPr>
            <w:proofErr w:type="spellStart"/>
            <w:r w:rsidRPr="00121308">
              <w:rPr>
                <w:b/>
                <w:bCs/>
                <w:sz w:val="16"/>
              </w:rPr>
              <w:t>THyGA</w:t>
            </w:r>
            <w:proofErr w:type="spellEnd"/>
          </w:p>
          <w:p w14:paraId="3D4D920B" w14:textId="77777777" w:rsidR="007F1021" w:rsidRDefault="007F1021" w:rsidP="00F668C6">
            <w:pPr>
              <w:autoSpaceDE w:val="0"/>
              <w:autoSpaceDN w:val="0"/>
              <w:adjustRightInd w:val="0"/>
              <w:spacing w:before="60" w:after="60"/>
              <w:jc w:val="both"/>
              <w:rPr>
                <w:sz w:val="16"/>
              </w:rPr>
            </w:pPr>
            <w:r>
              <w:rPr>
                <w:sz w:val="16"/>
              </w:rPr>
              <w:t>‘</w:t>
            </w:r>
            <w:r w:rsidRPr="00121308">
              <w:rPr>
                <w:sz w:val="16"/>
              </w:rPr>
              <w:t>Testing Hydrogen for Gas Appliances</w:t>
            </w:r>
            <w:r>
              <w:rPr>
                <w:sz w:val="16"/>
              </w:rPr>
              <w:t>’</w:t>
            </w:r>
          </w:p>
        </w:tc>
        <w:tc>
          <w:tcPr>
            <w:tcW w:w="1417" w:type="dxa"/>
            <w:tcBorders>
              <w:top w:val="single" w:sz="4" w:space="0" w:color="auto"/>
              <w:left w:val="nil"/>
              <w:bottom w:val="single" w:sz="4" w:space="0" w:color="auto"/>
              <w:right w:val="nil"/>
            </w:tcBorders>
            <w:vAlign w:val="center"/>
          </w:tcPr>
          <w:p w14:paraId="63E88317" w14:textId="77777777" w:rsidR="007F1021" w:rsidRPr="008742FB" w:rsidRDefault="007F1021" w:rsidP="00F668C6">
            <w:pPr>
              <w:autoSpaceDE w:val="0"/>
              <w:autoSpaceDN w:val="0"/>
              <w:adjustRightInd w:val="0"/>
              <w:spacing w:before="60" w:after="60"/>
              <w:jc w:val="both"/>
              <w:rPr>
                <w:sz w:val="16"/>
              </w:rPr>
            </w:pPr>
            <w:r>
              <w:rPr>
                <w:sz w:val="16"/>
              </w:rPr>
              <w:t>Europe</w:t>
            </w:r>
          </w:p>
        </w:tc>
        <w:tc>
          <w:tcPr>
            <w:tcW w:w="1417" w:type="dxa"/>
            <w:tcBorders>
              <w:top w:val="single" w:sz="4" w:space="0" w:color="auto"/>
              <w:left w:val="nil"/>
              <w:bottom w:val="single" w:sz="4" w:space="0" w:color="auto"/>
              <w:right w:val="nil"/>
            </w:tcBorders>
            <w:shd w:val="clear" w:color="auto" w:fill="auto"/>
            <w:vAlign w:val="center"/>
          </w:tcPr>
          <w:p w14:paraId="69F9F40D" w14:textId="77777777" w:rsidR="007F1021" w:rsidRPr="008742FB" w:rsidRDefault="007F1021" w:rsidP="00F668C6">
            <w:pPr>
              <w:autoSpaceDE w:val="0"/>
              <w:autoSpaceDN w:val="0"/>
              <w:adjustRightInd w:val="0"/>
              <w:spacing w:before="60" w:after="60"/>
              <w:jc w:val="both"/>
              <w:rPr>
                <w:sz w:val="16"/>
              </w:rPr>
            </w:pPr>
            <w:r>
              <w:rPr>
                <w:sz w:val="16"/>
              </w:rPr>
              <w:t>2020-2022</w:t>
            </w:r>
          </w:p>
        </w:tc>
        <w:tc>
          <w:tcPr>
            <w:tcW w:w="4252" w:type="dxa"/>
            <w:tcBorders>
              <w:top w:val="single" w:sz="4" w:space="0" w:color="auto"/>
              <w:left w:val="nil"/>
              <w:bottom w:val="single" w:sz="4" w:space="0" w:color="auto"/>
              <w:right w:val="nil"/>
            </w:tcBorders>
            <w:shd w:val="clear" w:color="auto" w:fill="auto"/>
            <w:vAlign w:val="center"/>
          </w:tcPr>
          <w:p w14:paraId="351489BD" w14:textId="77777777" w:rsidR="007F1021" w:rsidRPr="008742FB" w:rsidRDefault="007F1021" w:rsidP="00F668C6">
            <w:pPr>
              <w:autoSpaceDE w:val="0"/>
              <w:autoSpaceDN w:val="0"/>
              <w:adjustRightInd w:val="0"/>
              <w:spacing w:before="60" w:after="60"/>
              <w:jc w:val="both"/>
              <w:rPr>
                <w:rFonts w:cs="Verdana"/>
                <w:sz w:val="16"/>
                <w:szCs w:val="16"/>
                <w:lang w:eastAsia="es-ES"/>
              </w:rPr>
            </w:pPr>
            <w:r w:rsidRPr="00121308">
              <w:rPr>
                <w:rFonts w:cs="Verdana"/>
                <w:sz w:val="16"/>
                <w:szCs w:val="16"/>
                <w:lang w:eastAsia="es-ES"/>
              </w:rPr>
              <w:t xml:space="preserve">The </w:t>
            </w:r>
            <w:r>
              <w:rPr>
                <w:rFonts w:cs="Verdana"/>
                <w:sz w:val="16"/>
                <w:szCs w:val="16"/>
                <w:lang w:eastAsia="es-ES"/>
              </w:rPr>
              <w:t>project's primary goal</w:t>
            </w:r>
            <w:r w:rsidRPr="00121308">
              <w:rPr>
                <w:rFonts w:cs="Verdana"/>
                <w:sz w:val="16"/>
                <w:szCs w:val="16"/>
                <w:lang w:eastAsia="es-ES"/>
              </w:rPr>
              <w:t xml:space="preserve"> is to enable the </w:t>
            </w:r>
            <w:r>
              <w:rPr>
                <w:rFonts w:cs="Verdana"/>
                <w:sz w:val="16"/>
                <w:szCs w:val="16"/>
                <w:lang w:eastAsia="es-ES"/>
              </w:rPr>
              <w:t>broad</w:t>
            </w:r>
            <w:r w:rsidRPr="00121308">
              <w:rPr>
                <w:rFonts w:cs="Verdana"/>
                <w:sz w:val="16"/>
                <w:szCs w:val="16"/>
                <w:lang w:eastAsia="es-ES"/>
              </w:rPr>
              <w:t xml:space="preserve"> adoption of H2NG (hydrogen in natural gas) blends by closing knowledge gaps regarding technical impacts on residential and commercial gas appliances</w:t>
            </w:r>
            <w:r>
              <w:rPr>
                <w:rFonts w:cs="Verdana"/>
                <w:sz w:val="16"/>
                <w:szCs w:val="16"/>
                <w:lang w:eastAsia="es-ES"/>
              </w:rPr>
              <w:t>.</w:t>
            </w:r>
          </w:p>
        </w:tc>
      </w:tr>
      <w:tr w:rsidR="007F1021" w:rsidRPr="007708FC" w14:paraId="668DA6BF" w14:textId="77777777" w:rsidTr="00B26C13">
        <w:trPr>
          <w:trHeight w:val="283"/>
          <w:jc w:val="center"/>
        </w:trPr>
        <w:tc>
          <w:tcPr>
            <w:tcW w:w="1984" w:type="dxa"/>
            <w:tcBorders>
              <w:top w:val="single" w:sz="4" w:space="0" w:color="auto"/>
              <w:left w:val="nil"/>
              <w:bottom w:val="single" w:sz="4" w:space="0" w:color="auto"/>
              <w:right w:val="nil"/>
            </w:tcBorders>
            <w:shd w:val="clear" w:color="auto" w:fill="auto"/>
            <w:vAlign w:val="center"/>
          </w:tcPr>
          <w:p w14:paraId="21D63934" w14:textId="77777777" w:rsidR="007F1021" w:rsidRPr="00145D2D" w:rsidRDefault="007F1021" w:rsidP="00F668C6">
            <w:pPr>
              <w:autoSpaceDE w:val="0"/>
              <w:autoSpaceDN w:val="0"/>
              <w:adjustRightInd w:val="0"/>
              <w:spacing w:before="60"/>
              <w:jc w:val="both"/>
              <w:rPr>
                <w:b/>
                <w:bCs/>
                <w:sz w:val="16"/>
              </w:rPr>
            </w:pPr>
            <w:r w:rsidRPr="00145D2D">
              <w:rPr>
                <w:b/>
                <w:bCs/>
                <w:sz w:val="16"/>
              </w:rPr>
              <w:t>HIGGS</w:t>
            </w:r>
          </w:p>
          <w:p w14:paraId="325D329E" w14:textId="77777777" w:rsidR="007F1021" w:rsidRDefault="007F1021" w:rsidP="00F668C6">
            <w:pPr>
              <w:autoSpaceDE w:val="0"/>
              <w:autoSpaceDN w:val="0"/>
              <w:adjustRightInd w:val="0"/>
              <w:spacing w:before="60"/>
              <w:jc w:val="both"/>
              <w:rPr>
                <w:sz w:val="16"/>
              </w:rPr>
            </w:pPr>
            <w:r>
              <w:rPr>
                <w:sz w:val="16"/>
              </w:rPr>
              <w:t>‘Hydrogen in Gas Grids’</w:t>
            </w:r>
          </w:p>
        </w:tc>
        <w:tc>
          <w:tcPr>
            <w:tcW w:w="1417" w:type="dxa"/>
            <w:tcBorders>
              <w:top w:val="single" w:sz="4" w:space="0" w:color="auto"/>
              <w:left w:val="nil"/>
              <w:bottom w:val="single" w:sz="4" w:space="0" w:color="auto"/>
              <w:right w:val="nil"/>
            </w:tcBorders>
            <w:vAlign w:val="center"/>
          </w:tcPr>
          <w:p w14:paraId="3C6BB01D" w14:textId="77777777" w:rsidR="007F1021" w:rsidRPr="008742FB" w:rsidRDefault="007F1021" w:rsidP="00F668C6">
            <w:pPr>
              <w:autoSpaceDE w:val="0"/>
              <w:autoSpaceDN w:val="0"/>
              <w:adjustRightInd w:val="0"/>
              <w:spacing w:before="60"/>
              <w:jc w:val="both"/>
              <w:rPr>
                <w:sz w:val="16"/>
              </w:rPr>
            </w:pPr>
            <w:r>
              <w:rPr>
                <w:sz w:val="16"/>
              </w:rPr>
              <w:t>Europe</w:t>
            </w:r>
          </w:p>
        </w:tc>
        <w:tc>
          <w:tcPr>
            <w:tcW w:w="1417" w:type="dxa"/>
            <w:tcBorders>
              <w:top w:val="single" w:sz="4" w:space="0" w:color="auto"/>
              <w:left w:val="nil"/>
              <w:bottom w:val="single" w:sz="4" w:space="0" w:color="auto"/>
              <w:right w:val="nil"/>
            </w:tcBorders>
            <w:shd w:val="clear" w:color="auto" w:fill="auto"/>
            <w:vAlign w:val="center"/>
          </w:tcPr>
          <w:p w14:paraId="0A5024C7" w14:textId="77777777" w:rsidR="007F1021" w:rsidRPr="008742FB" w:rsidRDefault="007F1021" w:rsidP="00F668C6">
            <w:pPr>
              <w:autoSpaceDE w:val="0"/>
              <w:autoSpaceDN w:val="0"/>
              <w:adjustRightInd w:val="0"/>
              <w:spacing w:before="60"/>
              <w:jc w:val="both"/>
              <w:rPr>
                <w:sz w:val="16"/>
              </w:rPr>
            </w:pPr>
            <w:r>
              <w:rPr>
                <w:sz w:val="16"/>
              </w:rPr>
              <w:t>2020-2022</w:t>
            </w:r>
          </w:p>
        </w:tc>
        <w:tc>
          <w:tcPr>
            <w:tcW w:w="4252" w:type="dxa"/>
            <w:tcBorders>
              <w:top w:val="single" w:sz="4" w:space="0" w:color="auto"/>
              <w:left w:val="nil"/>
              <w:bottom w:val="single" w:sz="4" w:space="0" w:color="auto"/>
              <w:right w:val="nil"/>
            </w:tcBorders>
            <w:shd w:val="clear" w:color="auto" w:fill="auto"/>
            <w:vAlign w:val="center"/>
          </w:tcPr>
          <w:p w14:paraId="3F9F8A69" w14:textId="77777777" w:rsidR="007F1021" w:rsidRPr="008742FB" w:rsidRDefault="007F1021" w:rsidP="00F668C6">
            <w:pPr>
              <w:autoSpaceDE w:val="0"/>
              <w:autoSpaceDN w:val="0"/>
              <w:adjustRightInd w:val="0"/>
              <w:spacing w:before="60"/>
              <w:jc w:val="both"/>
              <w:rPr>
                <w:rFonts w:cs="Verdana"/>
                <w:sz w:val="16"/>
                <w:szCs w:val="16"/>
                <w:lang w:eastAsia="es-ES"/>
              </w:rPr>
            </w:pPr>
            <w:r>
              <w:rPr>
                <w:rFonts w:cs="Verdana"/>
                <w:sz w:val="16"/>
                <w:szCs w:val="16"/>
                <w:lang w:eastAsia="es-ES"/>
              </w:rPr>
              <w:t>The</w:t>
            </w:r>
            <w:r w:rsidRPr="00145D2D">
              <w:rPr>
                <w:rFonts w:cs="Verdana"/>
                <w:sz w:val="16"/>
                <w:szCs w:val="16"/>
                <w:lang w:eastAsia="es-ES"/>
              </w:rPr>
              <w:t xml:space="preserve"> project aims to </w:t>
            </w:r>
            <w:r>
              <w:rPr>
                <w:rFonts w:cs="Verdana"/>
                <w:sz w:val="16"/>
                <w:szCs w:val="16"/>
                <w:lang w:eastAsia="es-ES"/>
              </w:rPr>
              <w:t>cover</w:t>
            </w:r>
            <w:r w:rsidRPr="00145D2D">
              <w:rPr>
                <w:rFonts w:cs="Verdana"/>
                <w:sz w:val="16"/>
                <w:szCs w:val="16"/>
                <w:lang w:eastAsia="es-ES"/>
              </w:rPr>
              <w:t xml:space="preserve"> the gaps of knowledge of the impact that high levels of hydrogen could have on the gas infrastructure, its </w:t>
            </w:r>
            <w:proofErr w:type="gramStart"/>
            <w:r w:rsidRPr="00145D2D">
              <w:rPr>
                <w:rFonts w:cs="Verdana"/>
                <w:sz w:val="16"/>
                <w:szCs w:val="16"/>
                <w:lang w:eastAsia="es-ES"/>
              </w:rPr>
              <w:t>components</w:t>
            </w:r>
            <w:proofErr w:type="gramEnd"/>
            <w:r w:rsidRPr="00145D2D">
              <w:rPr>
                <w:rFonts w:cs="Verdana"/>
                <w:sz w:val="16"/>
                <w:szCs w:val="16"/>
                <w:lang w:eastAsia="es-ES"/>
              </w:rPr>
              <w:t xml:space="preserve"> and its management.</w:t>
            </w:r>
            <w:r>
              <w:rPr>
                <w:rFonts w:cs="Verdana"/>
                <w:sz w:val="16"/>
                <w:szCs w:val="16"/>
                <w:lang w:eastAsia="es-ES"/>
              </w:rPr>
              <w:t xml:space="preserve"> It includes </w:t>
            </w:r>
            <w:r w:rsidRPr="00145D2D">
              <w:rPr>
                <w:rFonts w:cs="Verdana"/>
                <w:sz w:val="16"/>
                <w:szCs w:val="16"/>
                <w:lang w:eastAsia="es-ES"/>
              </w:rPr>
              <w:t xml:space="preserve">mapping </w:t>
            </w:r>
            <w:r>
              <w:rPr>
                <w:rFonts w:cs="Verdana"/>
                <w:sz w:val="16"/>
                <w:szCs w:val="16"/>
                <w:lang w:eastAsia="es-ES"/>
              </w:rPr>
              <w:t xml:space="preserve">technical, </w:t>
            </w:r>
            <w:proofErr w:type="gramStart"/>
            <w:r>
              <w:rPr>
                <w:rFonts w:cs="Verdana"/>
                <w:sz w:val="16"/>
                <w:szCs w:val="16"/>
                <w:lang w:eastAsia="es-ES"/>
              </w:rPr>
              <w:t>legal</w:t>
            </w:r>
            <w:proofErr w:type="gramEnd"/>
            <w:r>
              <w:rPr>
                <w:rFonts w:cs="Verdana"/>
                <w:sz w:val="16"/>
                <w:szCs w:val="16"/>
                <w:lang w:eastAsia="es-ES"/>
              </w:rPr>
              <w:t xml:space="preserve"> and regulatory barriers and enablers, testing and validation of systems and innovation, techno-economic modelling, and preparing a set of conclusions as a pathway towards enabling hydrogen injection in high-pressure gas grids</w:t>
            </w:r>
            <w:r w:rsidRPr="00145D2D">
              <w:rPr>
                <w:rFonts w:cs="Verdana"/>
                <w:sz w:val="16"/>
                <w:szCs w:val="16"/>
                <w:lang w:eastAsia="es-ES"/>
              </w:rPr>
              <w:t xml:space="preserve"> are developed in the project.</w:t>
            </w:r>
          </w:p>
        </w:tc>
      </w:tr>
      <w:tr w:rsidR="007F1021" w:rsidRPr="007708FC" w14:paraId="266E1C55" w14:textId="77777777" w:rsidTr="00B26C13">
        <w:trPr>
          <w:trHeight w:val="283"/>
          <w:jc w:val="center"/>
        </w:trPr>
        <w:tc>
          <w:tcPr>
            <w:tcW w:w="1984" w:type="dxa"/>
            <w:tcBorders>
              <w:top w:val="single" w:sz="4" w:space="0" w:color="auto"/>
              <w:left w:val="nil"/>
              <w:bottom w:val="single" w:sz="4" w:space="0" w:color="auto"/>
              <w:right w:val="nil"/>
            </w:tcBorders>
            <w:shd w:val="clear" w:color="auto" w:fill="auto"/>
            <w:vAlign w:val="center"/>
          </w:tcPr>
          <w:p w14:paraId="6342EDF6" w14:textId="77777777" w:rsidR="007F1021" w:rsidRDefault="007F1021" w:rsidP="00F668C6">
            <w:pPr>
              <w:autoSpaceDE w:val="0"/>
              <w:autoSpaceDN w:val="0"/>
              <w:adjustRightInd w:val="0"/>
              <w:spacing w:before="60"/>
              <w:jc w:val="both"/>
              <w:rPr>
                <w:b/>
                <w:bCs/>
                <w:sz w:val="16"/>
              </w:rPr>
            </w:pPr>
            <w:r>
              <w:rPr>
                <w:b/>
                <w:bCs/>
                <w:sz w:val="16"/>
              </w:rPr>
              <w:t>H2GAR</w:t>
            </w:r>
          </w:p>
          <w:p w14:paraId="19AFEAE2" w14:textId="77777777" w:rsidR="007F1021" w:rsidRPr="005E7F11" w:rsidRDefault="007F1021" w:rsidP="00F668C6">
            <w:pPr>
              <w:autoSpaceDE w:val="0"/>
              <w:autoSpaceDN w:val="0"/>
              <w:adjustRightInd w:val="0"/>
              <w:spacing w:before="60"/>
              <w:jc w:val="both"/>
              <w:rPr>
                <w:sz w:val="16"/>
              </w:rPr>
            </w:pPr>
            <w:r w:rsidRPr="005E7F11">
              <w:rPr>
                <w:sz w:val="16"/>
              </w:rPr>
              <w:t>‘H2 Gas Assets Readiness’</w:t>
            </w:r>
          </w:p>
        </w:tc>
        <w:tc>
          <w:tcPr>
            <w:tcW w:w="1417" w:type="dxa"/>
            <w:tcBorders>
              <w:top w:val="single" w:sz="4" w:space="0" w:color="auto"/>
              <w:left w:val="nil"/>
              <w:bottom w:val="single" w:sz="4" w:space="0" w:color="auto"/>
              <w:right w:val="nil"/>
            </w:tcBorders>
            <w:vAlign w:val="center"/>
          </w:tcPr>
          <w:p w14:paraId="0CD2A4E4" w14:textId="77777777" w:rsidR="007F1021" w:rsidRDefault="007F1021" w:rsidP="00F668C6">
            <w:pPr>
              <w:autoSpaceDE w:val="0"/>
              <w:autoSpaceDN w:val="0"/>
              <w:adjustRightInd w:val="0"/>
              <w:spacing w:before="60"/>
              <w:jc w:val="both"/>
              <w:rPr>
                <w:sz w:val="16"/>
              </w:rPr>
            </w:pPr>
            <w:r>
              <w:rPr>
                <w:sz w:val="16"/>
              </w:rPr>
              <w:t>Europe</w:t>
            </w:r>
          </w:p>
        </w:tc>
        <w:tc>
          <w:tcPr>
            <w:tcW w:w="1417" w:type="dxa"/>
            <w:tcBorders>
              <w:top w:val="single" w:sz="4" w:space="0" w:color="auto"/>
              <w:left w:val="nil"/>
              <w:bottom w:val="single" w:sz="4" w:space="0" w:color="auto"/>
              <w:right w:val="nil"/>
            </w:tcBorders>
            <w:shd w:val="clear" w:color="auto" w:fill="auto"/>
            <w:vAlign w:val="center"/>
          </w:tcPr>
          <w:p w14:paraId="080C6891" w14:textId="77777777" w:rsidR="007F1021" w:rsidRDefault="007F1021" w:rsidP="00F668C6">
            <w:pPr>
              <w:autoSpaceDE w:val="0"/>
              <w:autoSpaceDN w:val="0"/>
              <w:adjustRightInd w:val="0"/>
              <w:spacing w:before="60"/>
              <w:jc w:val="both"/>
              <w:rPr>
                <w:sz w:val="16"/>
              </w:rPr>
            </w:pPr>
            <w:r>
              <w:rPr>
                <w:sz w:val="16"/>
              </w:rPr>
              <w:t>2020-TBD</w:t>
            </w:r>
          </w:p>
        </w:tc>
        <w:tc>
          <w:tcPr>
            <w:tcW w:w="4252" w:type="dxa"/>
            <w:tcBorders>
              <w:top w:val="single" w:sz="4" w:space="0" w:color="auto"/>
              <w:left w:val="nil"/>
              <w:bottom w:val="single" w:sz="4" w:space="0" w:color="auto"/>
              <w:right w:val="nil"/>
            </w:tcBorders>
            <w:shd w:val="clear" w:color="auto" w:fill="auto"/>
            <w:vAlign w:val="center"/>
          </w:tcPr>
          <w:p w14:paraId="5F143CD2" w14:textId="77777777" w:rsidR="007F1021" w:rsidRDefault="007F1021" w:rsidP="00F668C6">
            <w:pPr>
              <w:autoSpaceDE w:val="0"/>
              <w:autoSpaceDN w:val="0"/>
              <w:adjustRightInd w:val="0"/>
              <w:spacing w:before="60"/>
              <w:jc w:val="both"/>
              <w:rPr>
                <w:rFonts w:cs="Verdana"/>
                <w:sz w:val="16"/>
                <w:szCs w:val="16"/>
                <w:lang w:eastAsia="es-ES"/>
              </w:rPr>
            </w:pPr>
            <w:r>
              <w:rPr>
                <w:rFonts w:cs="Verdana"/>
                <w:sz w:val="16"/>
                <w:szCs w:val="16"/>
                <w:lang w:eastAsia="es-ES"/>
              </w:rPr>
              <w:t>I</w:t>
            </w:r>
            <w:r w:rsidRPr="005E7F11">
              <w:rPr>
                <w:rFonts w:cs="Verdana"/>
                <w:sz w:val="16"/>
                <w:szCs w:val="16"/>
                <w:lang w:eastAsia="es-ES"/>
              </w:rPr>
              <w:t xml:space="preserve">nitiative on the </w:t>
            </w:r>
            <w:r>
              <w:rPr>
                <w:rFonts w:cs="Verdana"/>
                <w:sz w:val="16"/>
                <w:szCs w:val="16"/>
                <w:lang w:eastAsia="es-ES"/>
              </w:rPr>
              <w:t>readiness</w:t>
            </w:r>
            <w:r w:rsidRPr="005E7F11">
              <w:rPr>
                <w:rFonts w:cs="Verdana"/>
                <w:sz w:val="16"/>
                <w:szCs w:val="16"/>
                <w:lang w:eastAsia="es-ES"/>
              </w:rPr>
              <w:t xml:space="preserve"> assessment</w:t>
            </w:r>
            <w:r>
              <w:rPr>
                <w:rFonts w:cs="Verdana"/>
                <w:sz w:val="16"/>
                <w:szCs w:val="16"/>
                <w:lang w:eastAsia="es-ES"/>
              </w:rPr>
              <w:t xml:space="preserve"> </w:t>
            </w:r>
            <w:r w:rsidRPr="005E7F11">
              <w:rPr>
                <w:rFonts w:cs="Verdana"/>
                <w:sz w:val="16"/>
                <w:szCs w:val="16"/>
                <w:lang w:eastAsia="es-ES"/>
              </w:rPr>
              <w:t xml:space="preserve">of </w:t>
            </w:r>
            <w:r>
              <w:rPr>
                <w:rFonts w:cs="Verdana"/>
                <w:sz w:val="16"/>
                <w:szCs w:val="16"/>
                <w:lang w:eastAsia="es-ES"/>
              </w:rPr>
              <w:t>gas transmission systems to hydrogen</w:t>
            </w:r>
            <w:r w:rsidRPr="005E7F11">
              <w:rPr>
                <w:rFonts w:cs="Verdana"/>
                <w:sz w:val="16"/>
                <w:szCs w:val="16"/>
                <w:lang w:eastAsia="es-ES"/>
              </w:rPr>
              <w:t xml:space="preserve">, </w:t>
            </w:r>
            <w:r>
              <w:rPr>
                <w:rFonts w:cs="Verdana"/>
                <w:sz w:val="16"/>
                <w:szCs w:val="16"/>
                <w:lang w:eastAsia="es-ES"/>
              </w:rPr>
              <w:t xml:space="preserve">with </w:t>
            </w:r>
            <w:proofErr w:type="spellStart"/>
            <w:r>
              <w:rPr>
                <w:rFonts w:cs="Verdana"/>
                <w:sz w:val="16"/>
                <w:szCs w:val="16"/>
                <w:lang w:eastAsia="es-ES"/>
              </w:rPr>
              <w:t>Enagás</w:t>
            </w:r>
            <w:proofErr w:type="spellEnd"/>
            <w:r>
              <w:rPr>
                <w:rFonts w:cs="Verdana"/>
                <w:sz w:val="16"/>
                <w:szCs w:val="16"/>
                <w:lang w:eastAsia="es-ES"/>
              </w:rPr>
              <w:t>,</w:t>
            </w:r>
            <w:r w:rsidRPr="005E7F11">
              <w:rPr>
                <w:rFonts w:cs="Verdana"/>
                <w:sz w:val="16"/>
                <w:szCs w:val="16"/>
                <w:lang w:eastAsia="es-ES"/>
              </w:rPr>
              <w:t xml:space="preserve"> </w:t>
            </w:r>
            <w:proofErr w:type="spellStart"/>
            <w:r w:rsidRPr="005E7F11">
              <w:rPr>
                <w:rFonts w:cs="Verdana"/>
                <w:sz w:val="16"/>
                <w:szCs w:val="16"/>
                <w:lang w:eastAsia="es-ES"/>
              </w:rPr>
              <w:t>Fluxys</w:t>
            </w:r>
            <w:proofErr w:type="spellEnd"/>
            <w:r w:rsidRPr="005E7F11">
              <w:rPr>
                <w:rFonts w:cs="Verdana"/>
                <w:sz w:val="16"/>
                <w:szCs w:val="16"/>
                <w:lang w:eastAsia="es-ES"/>
              </w:rPr>
              <w:t xml:space="preserve">, </w:t>
            </w:r>
            <w:proofErr w:type="spellStart"/>
            <w:r w:rsidRPr="005E7F11">
              <w:rPr>
                <w:rFonts w:cs="Verdana"/>
                <w:sz w:val="16"/>
                <w:szCs w:val="16"/>
                <w:lang w:eastAsia="es-ES"/>
              </w:rPr>
              <w:t>Gasunie</w:t>
            </w:r>
            <w:proofErr w:type="spellEnd"/>
            <w:r w:rsidRPr="005E7F11">
              <w:rPr>
                <w:rFonts w:cs="Verdana"/>
                <w:sz w:val="16"/>
                <w:szCs w:val="16"/>
                <w:lang w:eastAsia="es-ES"/>
              </w:rPr>
              <w:t xml:space="preserve">, </w:t>
            </w:r>
            <w:proofErr w:type="spellStart"/>
            <w:r w:rsidRPr="005E7F11">
              <w:rPr>
                <w:rFonts w:cs="Verdana"/>
                <w:sz w:val="16"/>
                <w:szCs w:val="16"/>
                <w:lang w:eastAsia="es-ES"/>
              </w:rPr>
              <w:t>GRTgaz</w:t>
            </w:r>
            <w:proofErr w:type="spellEnd"/>
            <w:r w:rsidRPr="005E7F11">
              <w:rPr>
                <w:rFonts w:cs="Verdana"/>
                <w:sz w:val="16"/>
                <w:szCs w:val="16"/>
                <w:lang w:eastAsia="es-ES"/>
              </w:rPr>
              <w:t>, National Grid, Open Grid Europe and</w:t>
            </w:r>
            <w:r>
              <w:rPr>
                <w:rFonts w:cs="Verdana"/>
                <w:sz w:val="16"/>
                <w:szCs w:val="16"/>
                <w:lang w:eastAsia="es-ES"/>
              </w:rPr>
              <w:t xml:space="preserve"> </w:t>
            </w:r>
            <w:proofErr w:type="spellStart"/>
            <w:r w:rsidRPr="005E7F11">
              <w:rPr>
                <w:rFonts w:cs="Verdana"/>
                <w:sz w:val="16"/>
                <w:szCs w:val="16"/>
                <w:lang w:eastAsia="es-ES"/>
              </w:rPr>
              <w:t>Snam</w:t>
            </w:r>
            <w:proofErr w:type="spellEnd"/>
            <w:r>
              <w:rPr>
                <w:rFonts w:cs="Verdana"/>
                <w:sz w:val="16"/>
                <w:szCs w:val="16"/>
                <w:lang w:eastAsia="es-ES"/>
              </w:rPr>
              <w:t>, to share current technical knowledge</w:t>
            </w:r>
            <w:r w:rsidRPr="005E7F11">
              <w:rPr>
                <w:rFonts w:cs="Verdana"/>
                <w:sz w:val="16"/>
                <w:szCs w:val="16"/>
                <w:lang w:eastAsia="es-ES"/>
              </w:rPr>
              <w:t>.</w:t>
            </w:r>
          </w:p>
        </w:tc>
      </w:tr>
      <w:tr w:rsidR="007F1021" w:rsidRPr="007708FC" w14:paraId="4E41C5C3" w14:textId="77777777" w:rsidTr="00B26C13">
        <w:trPr>
          <w:trHeight w:val="283"/>
          <w:jc w:val="center"/>
        </w:trPr>
        <w:tc>
          <w:tcPr>
            <w:tcW w:w="1984" w:type="dxa"/>
            <w:tcBorders>
              <w:top w:val="single" w:sz="4" w:space="0" w:color="auto"/>
              <w:left w:val="nil"/>
              <w:bottom w:val="single" w:sz="4" w:space="0" w:color="auto"/>
              <w:right w:val="nil"/>
            </w:tcBorders>
            <w:shd w:val="clear" w:color="auto" w:fill="auto"/>
            <w:vAlign w:val="center"/>
          </w:tcPr>
          <w:p w14:paraId="6941ACC3" w14:textId="77777777" w:rsidR="007F1021" w:rsidRPr="00EF26D0" w:rsidRDefault="007F1021" w:rsidP="00F668C6">
            <w:pPr>
              <w:autoSpaceDE w:val="0"/>
              <w:autoSpaceDN w:val="0"/>
              <w:adjustRightInd w:val="0"/>
              <w:spacing w:before="60"/>
              <w:jc w:val="both"/>
              <w:rPr>
                <w:b/>
                <w:bCs/>
                <w:sz w:val="16"/>
              </w:rPr>
            </w:pPr>
            <w:r w:rsidRPr="00EF26D0">
              <w:rPr>
                <w:b/>
                <w:bCs/>
                <w:sz w:val="16"/>
              </w:rPr>
              <w:t>Energy Storage</w:t>
            </w:r>
          </w:p>
          <w:p w14:paraId="178DA469" w14:textId="77777777" w:rsidR="007F1021" w:rsidRPr="00332254" w:rsidRDefault="007F1021" w:rsidP="00F668C6">
            <w:pPr>
              <w:autoSpaceDE w:val="0"/>
              <w:autoSpaceDN w:val="0"/>
              <w:adjustRightInd w:val="0"/>
              <w:spacing w:before="60"/>
              <w:jc w:val="both"/>
              <w:rPr>
                <w:sz w:val="16"/>
              </w:rPr>
            </w:pPr>
            <w:r>
              <w:rPr>
                <w:sz w:val="16"/>
              </w:rPr>
              <w:t>‘</w:t>
            </w:r>
            <w:r w:rsidRPr="00EF26D0">
              <w:rPr>
                <w:sz w:val="16"/>
              </w:rPr>
              <w:t>Hydrogen injected</w:t>
            </w:r>
            <w:r>
              <w:rPr>
                <w:sz w:val="16"/>
              </w:rPr>
              <w:t xml:space="preserve"> </w:t>
            </w:r>
            <w:r w:rsidRPr="00EF26D0">
              <w:rPr>
                <w:sz w:val="16"/>
              </w:rPr>
              <w:t xml:space="preserve">into the Gas Grid via </w:t>
            </w:r>
            <w:r>
              <w:rPr>
                <w:sz w:val="16"/>
              </w:rPr>
              <w:t xml:space="preserve">an </w:t>
            </w:r>
            <w:r w:rsidRPr="00EF26D0">
              <w:rPr>
                <w:sz w:val="16"/>
              </w:rPr>
              <w:t>electrolysis field</w:t>
            </w:r>
            <w:r>
              <w:rPr>
                <w:sz w:val="16"/>
              </w:rPr>
              <w:t xml:space="preserve"> </w:t>
            </w:r>
            <w:r w:rsidRPr="00EF26D0">
              <w:rPr>
                <w:sz w:val="16"/>
              </w:rPr>
              <w:t>test</w:t>
            </w:r>
            <w:r>
              <w:rPr>
                <w:sz w:val="16"/>
              </w:rPr>
              <w:t>.’</w:t>
            </w:r>
          </w:p>
        </w:tc>
        <w:tc>
          <w:tcPr>
            <w:tcW w:w="1417" w:type="dxa"/>
            <w:tcBorders>
              <w:top w:val="single" w:sz="4" w:space="0" w:color="auto"/>
              <w:left w:val="nil"/>
              <w:bottom w:val="single" w:sz="4" w:space="0" w:color="auto"/>
              <w:right w:val="nil"/>
            </w:tcBorders>
            <w:vAlign w:val="center"/>
          </w:tcPr>
          <w:p w14:paraId="2FE91561" w14:textId="77777777" w:rsidR="007F1021" w:rsidRPr="00332254" w:rsidRDefault="007F1021" w:rsidP="00F668C6">
            <w:pPr>
              <w:autoSpaceDE w:val="0"/>
              <w:autoSpaceDN w:val="0"/>
              <w:adjustRightInd w:val="0"/>
              <w:spacing w:before="60"/>
              <w:jc w:val="both"/>
              <w:rPr>
                <w:sz w:val="16"/>
              </w:rPr>
            </w:pPr>
            <w:r>
              <w:rPr>
                <w:sz w:val="16"/>
              </w:rPr>
              <w:t>Denmark</w:t>
            </w:r>
          </w:p>
        </w:tc>
        <w:tc>
          <w:tcPr>
            <w:tcW w:w="1417" w:type="dxa"/>
            <w:tcBorders>
              <w:top w:val="single" w:sz="4" w:space="0" w:color="auto"/>
              <w:left w:val="nil"/>
              <w:bottom w:val="single" w:sz="4" w:space="0" w:color="auto"/>
              <w:right w:val="nil"/>
            </w:tcBorders>
            <w:shd w:val="clear" w:color="auto" w:fill="auto"/>
            <w:vAlign w:val="center"/>
          </w:tcPr>
          <w:p w14:paraId="1BE5FDC9" w14:textId="77777777" w:rsidR="007F1021" w:rsidRPr="00332254" w:rsidRDefault="007F1021" w:rsidP="00F668C6">
            <w:pPr>
              <w:autoSpaceDE w:val="0"/>
              <w:autoSpaceDN w:val="0"/>
              <w:adjustRightInd w:val="0"/>
              <w:spacing w:before="60"/>
              <w:jc w:val="both"/>
              <w:rPr>
                <w:sz w:val="16"/>
              </w:rPr>
            </w:pPr>
            <w:r>
              <w:rPr>
                <w:sz w:val="16"/>
              </w:rPr>
              <w:t>2016-2020</w:t>
            </w:r>
          </w:p>
        </w:tc>
        <w:tc>
          <w:tcPr>
            <w:tcW w:w="4252" w:type="dxa"/>
            <w:tcBorders>
              <w:top w:val="single" w:sz="4" w:space="0" w:color="auto"/>
              <w:left w:val="nil"/>
              <w:bottom w:val="single" w:sz="4" w:space="0" w:color="auto"/>
              <w:right w:val="nil"/>
            </w:tcBorders>
            <w:shd w:val="clear" w:color="auto" w:fill="auto"/>
            <w:vAlign w:val="center"/>
          </w:tcPr>
          <w:p w14:paraId="6145CFCD" w14:textId="49ED7149" w:rsidR="007F1021" w:rsidRPr="00332254" w:rsidRDefault="007F1021" w:rsidP="00F668C6">
            <w:pPr>
              <w:autoSpaceDE w:val="0"/>
              <w:autoSpaceDN w:val="0"/>
              <w:adjustRightInd w:val="0"/>
              <w:spacing w:before="60"/>
              <w:jc w:val="both"/>
              <w:rPr>
                <w:rFonts w:cs="Verdana"/>
                <w:sz w:val="16"/>
                <w:szCs w:val="16"/>
                <w:lang w:eastAsia="es-ES"/>
              </w:rPr>
            </w:pPr>
            <w:r>
              <w:rPr>
                <w:rFonts w:cs="Verdana"/>
                <w:sz w:val="16"/>
                <w:szCs w:val="16"/>
                <w:lang w:eastAsia="es-ES"/>
              </w:rPr>
              <w:t>D</w:t>
            </w:r>
            <w:r w:rsidRPr="00FA54C3">
              <w:rPr>
                <w:rFonts w:cs="Verdana"/>
                <w:sz w:val="16"/>
                <w:szCs w:val="16"/>
                <w:lang w:eastAsia="es-ES"/>
              </w:rPr>
              <w:t>emonstrat</w:t>
            </w:r>
            <w:r>
              <w:rPr>
                <w:rFonts w:cs="Verdana"/>
                <w:sz w:val="16"/>
                <w:szCs w:val="16"/>
                <w:lang w:eastAsia="es-ES"/>
              </w:rPr>
              <w:t>ing</w:t>
            </w:r>
            <w:r w:rsidRPr="00FA54C3">
              <w:rPr>
                <w:rFonts w:cs="Verdana"/>
                <w:sz w:val="16"/>
                <w:szCs w:val="16"/>
                <w:lang w:eastAsia="es-ES"/>
              </w:rPr>
              <w:t xml:space="preserve"> transportation of up to 15</w:t>
            </w:r>
            <w:r>
              <w:rPr>
                <w:rFonts w:cs="Verdana"/>
                <w:sz w:val="16"/>
                <w:szCs w:val="16"/>
                <w:lang w:eastAsia="es-ES"/>
              </w:rPr>
              <w:t xml:space="preserve"> vol</w:t>
            </w:r>
            <w:r w:rsidR="00350661">
              <w:rPr>
                <w:rFonts w:cs="Verdana"/>
                <w:sz w:val="16"/>
                <w:szCs w:val="16"/>
                <w:lang w:eastAsia="es-ES"/>
              </w:rPr>
              <w:t xml:space="preserve"> </w:t>
            </w:r>
            <w:r w:rsidRPr="00FA54C3">
              <w:rPr>
                <w:rFonts w:cs="Verdana"/>
                <w:sz w:val="16"/>
                <w:szCs w:val="16"/>
                <w:lang w:eastAsia="es-ES"/>
              </w:rPr>
              <w:t>% hydrogen in natural gas in a closed-loop high-pressure system, consisting of components and infrastructure from transmission and distribution grids.</w:t>
            </w:r>
          </w:p>
        </w:tc>
      </w:tr>
      <w:tr w:rsidR="007F1021" w:rsidRPr="007708FC" w14:paraId="659CCDFC" w14:textId="77777777" w:rsidTr="00B26C13">
        <w:trPr>
          <w:trHeight w:val="283"/>
          <w:jc w:val="center"/>
        </w:trPr>
        <w:tc>
          <w:tcPr>
            <w:tcW w:w="1984" w:type="dxa"/>
            <w:tcBorders>
              <w:top w:val="single" w:sz="4" w:space="0" w:color="auto"/>
              <w:left w:val="nil"/>
              <w:bottom w:val="single" w:sz="4" w:space="0" w:color="auto"/>
              <w:right w:val="nil"/>
            </w:tcBorders>
            <w:shd w:val="clear" w:color="auto" w:fill="auto"/>
            <w:vAlign w:val="center"/>
          </w:tcPr>
          <w:p w14:paraId="4C4C9EF5" w14:textId="77777777" w:rsidR="007F1021" w:rsidRDefault="007F1021" w:rsidP="00F668C6">
            <w:pPr>
              <w:autoSpaceDE w:val="0"/>
              <w:autoSpaceDN w:val="0"/>
              <w:adjustRightInd w:val="0"/>
              <w:spacing w:before="60"/>
              <w:jc w:val="both"/>
              <w:rPr>
                <w:b/>
                <w:bCs/>
                <w:sz w:val="16"/>
              </w:rPr>
            </w:pPr>
            <w:r>
              <w:rPr>
                <w:b/>
                <w:bCs/>
                <w:sz w:val="16"/>
              </w:rPr>
              <w:t>GRHYD</w:t>
            </w:r>
          </w:p>
          <w:p w14:paraId="327B0408" w14:textId="77777777" w:rsidR="007F1021" w:rsidRPr="005D30A1" w:rsidRDefault="007F1021" w:rsidP="00F668C6">
            <w:pPr>
              <w:autoSpaceDE w:val="0"/>
              <w:autoSpaceDN w:val="0"/>
              <w:adjustRightInd w:val="0"/>
              <w:spacing w:before="60"/>
              <w:jc w:val="both"/>
              <w:rPr>
                <w:sz w:val="16"/>
              </w:rPr>
            </w:pPr>
            <w:r w:rsidRPr="005D30A1">
              <w:rPr>
                <w:sz w:val="16"/>
              </w:rPr>
              <w:t>‘</w:t>
            </w:r>
            <w:r>
              <w:rPr>
                <w:sz w:val="16"/>
              </w:rPr>
              <w:t>G</w:t>
            </w:r>
            <w:r w:rsidRPr="005D30A1">
              <w:rPr>
                <w:sz w:val="16"/>
              </w:rPr>
              <w:t xml:space="preserve">estion des </w:t>
            </w:r>
            <w:proofErr w:type="spellStart"/>
            <w:r w:rsidRPr="005D30A1">
              <w:rPr>
                <w:sz w:val="16"/>
              </w:rPr>
              <w:t>Réseaux</w:t>
            </w:r>
            <w:proofErr w:type="spellEnd"/>
            <w:r w:rsidRPr="005D30A1">
              <w:rPr>
                <w:sz w:val="16"/>
              </w:rPr>
              <w:t xml:space="preserve"> par </w:t>
            </w:r>
            <w:proofErr w:type="spellStart"/>
            <w:r w:rsidRPr="005D30A1">
              <w:rPr>
                <w:sz w:val="16"/>
              </w:rPr>
              <w:t>l’injection</w:t>
            </w:r>
            <w:proofErr w:type="spellEnd"/>
            <w:r w:rsidRPr="005D30A1">
              <w:rPr>
                <w:sz w:val="16"/>
              </w:rPr>
              <w:t xml:space="preserve"> </w:t>
            </w:r>
            <w:proofErr w:type="spellStart"/>
            <w:r w:rsidRPr="005D30A1">
              <w:rPr>
                <w:sz w:val="16"/>
              </w:rPr>
              <w:t>d’HYdrogène</w:t>
            </w:r>
            <w:proofErr w:type="spellEnd"/>
            <w:r w:rsidRPr="005D30A1">
              <w:rPr>
                <w:sz w:val="16"/>
              </w:rPr>
              <w:t xml:space="preserve"> pour </w:t>
            </w:r>
            <w:proofErr w:type="spellStart"/>
            <w:r w:rsidRPr="005D30A1">
              <w:rPr>
                <w:sz w:val="16"/>
              </w:rPr>
              <w:t>Décarboner</w:t>
            </w:r>
            <w:proofErr w:type="spellEnd"/>
            <w:r w:rsidRPr="005D30A1">
              <w:rPr>
                <w:sz w:val="16"/>
              </w:rPr>
              <w:t xml:space="preserve"> les energies</w:t>
            </w:r>
            <w:r>
              <w:rPr>
                <w:sz w:val="16"/>
              </w:rPr>
              <w:t>’ or ‘</w:t>
            </w:r>
            <w:r w:rsidRPr="005D30A1">
              <w:rPr>
                <w:sz w:val="16"/>
              </w:rPr>
              <w:t xml:space="preserve">Network Management by injecting </w:t>
            </w:r>
            <w:proofErr w:type="spellStart"/>
            <w:r w:rsidRPr="005D30A1">
              <w:rPr>
                <w:sz w:val="16"/>
              </w:rPr>
              <w:t>HYdrogen</w:t>
            </w:r>
            <w:proofErr w:type="spellEnd"/>
            <w:r w:rsidRPr="005D30A1">
              <w:rPr>
                <w:sz w:val="16"/>
              </w:rPr>
              <w:t xml:space="preserve"> to Decarbonize energies’</w:t>
            </w:r>
          </w:p>
        </w:tc>
        <w:tc>
          <w:tcPr>
            <w:tcW w:w="1417" w:type="dxa"/>
            <w:tcBorders>
              <w:top w:val="single" w:sz="4" w:space="0" w:color="auto"/>
              <w:left w:val="nil"/>
              <w:bottom w:val="single" w:sz="4" w:space="0" w:color="auto"/>
              <w:right w:val="nil"/>
            </w:tcBorders>
            <w:vAlign w:val="center"/>
          </w:tcPr>
          <w:p w14:paraId="34567761" w14:textId="77777777" w:rsidR="007F1021" w:rsidRDefault="007F1021" w:rsidP="00F668C6">
            <w:pPr>
              <w:autoSpaceDE w:val="0"/>
              <w:autoSpaceDN w:val="0"/>
              <w:adjustRightInd w:val="0"/>
              <w:spacing w:before="60"/>
              <w:jc w:val="both"/>
              <w:rPr>
                <w:sz w:val="16"/>
              </w:rPr>
            </w:pPr>
            <w:r>
              <w:rPr>
                <w:sz w:val="16"/>
              </w:rPr>
              <w:t>France</w:t>
            </w:r>
          </w:p>
        </w:tc>
        <w:tc>
          <w:tcPr>
            <w:tcW w:w="1417" w:type="dxa"/>
            <w:tcBorders>
              <w:top w:val="single" w:sz="4" w:space="0" w:color="auto"/>
              <w:left w:val="nil"/>
              <w:bottom w:val="single" w:sz="4" w:space="0" w:color="auto"/>
              <w:right w:val="nil"/>
            </w:tcBorders>
            <w:shd w:val="clear" w:color="auto" w:fill="auto"/>
            <w:vAlign w:val="center"/>
          </w:tcPr>
          <w:p w14:paraId="742EA139" w14:textId="77777777" w:rsidR="007F1021" w:rsidRDefault="007F1021" w:rsidP="00F668C6">
            <w:pPr>
              <w:autoSpaceDE w:val="0"/>
              <w:autoSpaceDN w:val="0"/>
              <w:adjustRightInd w:val="0"/>
              <w:spacing w:before="60"/>
              <w:jc w:val="both"/>
              <w:rPr>
                <w:sz w:val="16"/>
              </w:rPr>
            </w:pPr>
            <w:r>
              <w:rPr>
                <w:sz w:val="16"/>
              </w:rPr>
              <w:t>2014-TBD</w:t>
            </w:r>
          </w:p>
        </w:tc>
        <w:tc>
          <w:tcPr>
            <w:tcW w:w="4252" w:type="dxa"/>
            <w:tcBorders>
              <w:top w:val="single" w:sz="4" w:space="0" w:color="auto"/>
              <w:left w:val="nil"/>
              <w:bottom w:val="single" w:sz="4" w:space="0" w:color="auto"/>
              <w:right w:val="nil"/>
            </w:tcBorders>
            <w:shd w:val="clear" w:color="auto" w:fill="auto"/>
            <w:vAlign w:val="center"/>
          </w:tcPr>
          <w:p w14:paraId="3BEBF182" w14:textId="21173BC9" w:rsidR="007F1021" w:rsidRDefault="007F1021" w:rsidP="00F668C6">
            <w:pPr>
              <w:autoSpaceDE w:val="0"/>
              <w:autoSpaceDN w:val="0"/>
              <w:adjustRightInd w:val="0"/>
              <w:spacing w:before="60"/>
              <w:jc w:val="both"/>
              <w:rPr>
                <w:rFonts w:cs="Verdana"/>
                <w:sz w:val="16"/>
                <w:szCs w:val="16"/>
                <w:lang w:eastAsia="es-ES"/>
              </w:rPr>
            </w:pPr>
            <w:r>
              <w:rPr>
                <w:rFonts w:cs="Verdana"/>
                <w:sz w:val="16"/>
                <w:szCs w:val="16"/>
                <w:lang w:eastAsia="es-ES"/>
              </w:rPr>
              <w:t>The</w:t>
            </w:r>
            <w:r w:rsidRPr="005D30A1">
              <w:rPr>
                <w:rFonts w:cs="Verdana"/>
                <w:sz w:val="16"/>
                <w:szCs w:val="16"/>
                <w:lang w:eastAsia="es-ES"/>
              </w:rPr>
              <w:t xml:space="preserve"> project aims to convert surplus energy generated from renewable sources into hydrogen, which will then be blended with natural gas for </w:t>
            </w:r>
            <w:r>
              <w:rPr>
                <w:rFonts w:cs="Verdana"/>
                <w:sz w:val="16"/>
                <w:szCs w:val="16"/>
                <w:lang w:eastAsia="es-ES"/>
              </w:rPr>
              <w:t>various</w:t>
            </w:r>
            <w:r w:rsidRPr="005D30A1">
              <w:rPr>
                <w:rFonts w:cs="Verdana"/>
                <w:sz w:val="16"/>
                <w:szCs w:val="16"/>
                <w:lang w:eastAsia="es-ES"/>
              </w:rPr>
              <w:t xml:space="preserve"> applications, including space heating, water heating and fuel.</w:t>
            </w:r>
            <w:r>
              <w:rPr>
                <w:rFonts w:cs="Verdana"/>
                <w:sz w:val="16"/>
                <w:szCs w:val="16"/>
                <w:lang w:eastAsia="es-ES"/>
              </w:rPr>
              <w:t xml:space="preserve"> </w:t>
            </w:r>
            <w:r w:rsidRPr="005D30A1">
              <w:rPr>
                <w:rFonts w:cs="Verdana"/>
                <w:sz w:val="16"/>
                <w:szCs w:val="16"/>
                <w:lang w:eastAsia="es-ES"/>
              </w:rPr>
              <w:t>A new residential neighbourhood of around 200 homes will be supplied with a blend of hydrogen and natural gas using a variable hydrogen content of below 20</w:t>
            </w:r>
            <w:r>
              <w:rPr>
                <w:rFonts w:cs="Verdana"/>
                <w:sz w:val="16"/>
                <w:szCs w:val="16"/>
                <w:lang w:eastAsia="es-ES"/>
              </w:rPr>
              <w:t xml:space="preserve"> vol</w:t>
            </w:r>
            <w:r w:rsidR="00350661">
              <w:rPr>
                <w:rFonts w:cs="Verdana"/>
                <w:sz w:val="16"/>
                <w:szCs w:val="16"/>
                <w:lang w:eastAsia="es-ES"/>
              </w:rPr>
              <w:t xml:space="preserve"> </w:t>
            </w:r>
            <w:r w:rsidRPr="005D30A1">
              <w:rPr>
                <w:rFonts w:cs="Verdana"/>
                <w:sz w:val="16"/>
                <w:szCs w:val="16"/>
                <w:lang w:eastAsia="es-ES"/>
              </w:rPr>
              <w:t>%.</w:t>
            </w:r>
          </w:p>
        </w:tc>
      </w:tr>
      <w:tr w:rsidR="007F1021" w:rsidRPr="007708FC" w14:paraId="34EEC283" w14:textId="77777777" w:rsidTr="00B26C13">
        <w:trPr>
          <w:trHeight w:val="283"/>
          <w:jc w:val="center"/>
        </w:trPr>
        <w:tc>
          <w:tcPr>
            <w:tcW w:w="1984" w:type="dxa"/>
            <w:tcBorders>
              <w:top w:val="single" w:sz="4" w:space="0" w:color="auto"/>
              <w:left w:val="nil"/>
              <w:bottom w:val="single" w:sz="4" w:space="0" w:color="auto"/>
              <w:right w:val="nil"/>
            </w:tcBorders>
            <w:shd w:val="clear" w:color="auto" w:fill="auto"/>
            <w:vAlign w:val="center"/>
          </w:tcPr>
          <w:p w14:paraId="4B971A82" w14:textId="77777777" w:rsidR="007F1021" w:rsidRPr="009E0122" w:rsidRDefault="007F1021" w:rsidP="00F668C6">
            <w:pPr>
              <w:autoSpaceDE w:val="0"/>
              <w:autoSpaceDN w:val="0"/>
              <w:adjustRightInd w:val="0"/>
              <w:spacing w:before="60"/>
              <w:jc w:val="both"/>
              <w:rPr>
                <w:b/>
                <w:bCs/>
                <w:sz w:val="16"/>
              </w:rPr>
            </w:pPr>
            <w:proofErr w:type="spellStart"/>
            <w:r w:rsidRPr="009E0122">
              <w:rPr>
                <w:b/>
                <w:bCs/>
                <w:sz w:val="16"/>
              </w:rPr>
              <w:t>FenHYx</w:t>
            </w:r>
            <w:proofErr w:type="spellEnd"/>
          </w:p>
          <w:p w14:paraId="7EE0BE85" w14:textId="77777777" w:rsidR="007F1021" w:rsidRPr="00332254" w:rsidRDefault="007F1021" w:rsidP="00F668C6">
            <w:pPr>
              <w:autoSpaceDE w:val="0"/>
              <w:autoSpaceDN w:val="0"/>
              <w:adjustRightInd w:val="0"/>
              <w:spacing w:before="60"/>
              <w:jc w:val="both"/>
              <w:rPr>
                <w:sz w:val="16"/>
              </w:rPr>
            </w:pPr>
            <w:r>
              <w:rPr>
                <w:sz w:val="16"/>
              </w:rPr>
              <w:t>‘</w:t>
            </w:r>
            <w:r w:rsidRPr="009E0122">
              <w:rPr>
                <w:sz w:val="16"/>
              </w:rPr>
              <w:t>Future Energy Network for Hydrogen</w:t>
            </w:r>
            <w:r>
              <w:rPr>
                <w:sz w:val="16"/>
              </w:rPr>
              <w:t xml:space="preserve"> </w:t>
            </w:r>
            <w:r w:rsidRPr="009E0122">
              <w:rPr>
                <w:sz w:val="16"/>
              </w:rPr>
              <w:t xml:space="preserve">and </w:t>
            </w:r>
            <w:proofErr w:type="spellStart"/>
            <w:r w:rsidRPr="009E0122">
              <w:rPr>
                <w:sz w:val="16"/>
              </w:rPr>
              <w:t>miX</w:t>
            </w:r>
            <w:proofErr w:type="spellEnd"/>
            <w:r>
              <w:rPr>
                <w:sz w:val="16"/>
              </w:rPr>
              <w:t>.’</w:t>
            </w:r>
          </w:p>
        </w:tc>
        <w:tc>
          <w:tcPr>
            <w:tcW w:w="1417" w:type="dxa"/>
            <w:tcBorders>
              <w:top w:val="single" w:sz="4" w:space="0" w:color="auto"/>
              <w:left w:val="nil"/>
              <w:bottom w:val="single" w:sz="4" w:space="0" w:color="auto"/>
              <w:right w:val="nil"/>
            </w:tcBorders>
            <w:vAlign w:val="center"/>
          </w:tcPr>
          <w:p w14:paraId="0EF9F798" w14:textId="77777777" w:rsidR="007F1021" w:rsidRPr="00332254" w:rsidRDefault="007F1021" w:rsidP="00F668C6">
            <w:pPr>
              <w:autoSpaceDE w:val="0"/>
              <w:autoSpaceDN w:val="0"/>
              <w:adjustRightInd w:val="0"/>
              <w:spacing w:before="60"/>
              <w:jc w:val="both"/>
              <w:rPr>
                <w:sz w:val="16"/>
              </w:rPr>
            </w:pPr>
            <w:r>
              <w:rPr>
                <w:sz w:val="16"/>
              </w:rPr>
              <w:t>France</w:t>
            </w:r>
          </w:p>
        </w:tc>
        <w:tc>
          <w:tcPr>
            <w:tcW w:w="1417" w:type="dxa"/>
            <w:tcBorders>
              <w:top w:val="single" w:sz="4" w:space="0" w:color="auto"/>
              <w:left w:val="nil"/>
              <w:bottom w:val="single" w:sz="4" w:space="0" w:color="auto"/>
              <w:right w:val="nil"/>
            </w:tcBorders>
            <w:shd w:val="clear" w:color="auto" w:fill="auto"/>
            <w:vAlign w:val="center"/>
          </w:tcPr>
          <w:p w14:paraId="269C3EB0" w14:textId="77777777" w:rsidR="007F1021" w:rsidRPr="00332254" w:rsidRDefault="007F1021" w:rsidP="00F668C6">
            <w:pPr>
              <w:autoSpaceDE w:val="0"/>
              <w:autoSpaceDN w:val="0"/>
              <w:adjustRightInd w:val="0"/>
              <w:spacing w:before="60"/>
              <w:jc w:val="both"/>
              <w:rPr>
                <w:sz w:val="16"/>
              </w:rPr>
            </w:pPr>
            <w:r>
              <w:rPr>
                <w:sz w:val="16"/>
              </w:rPr>
              <w:t>2021-TBD</w:t>
            </w:r>
          </w:p>
        </w:tc>
        <w:tc>
          <w:tcPr>
            <w:tcW w:w="4252" w:type="dxa"/>
            <w:tcBorders>
              <w:top w:val="single" w:sz="4" w:space="0" w:color="auto"/>
              <w:left w:val="nil"/>
              <w:bottom w:val="single" w:sz="4" w:space="0" w:color="auto"/>
              <w:right w:val="nil"/>
            </w:tcBorders>
            <w:shd w:val="clear" w:color="auto" w:fill="auto"/>
            <w:vAlign w:val="center"/>
          </w:tcPr>
          <w:p w14:paraId="531DAFD1" w14:textId="77777777" w:rsidR="007F1021" w:rsidRPr="00332254" w:rsidRDefault="007F1021" w:rsidP="00F668C6">
            <w:pPr>
              <w:autoSpaceDE w:val="0"/>
              <w:autoSpaceDN w:val="0"/>
              <w:adjustRightInd w:val="0"/>
              <w:spacing w:before="60"/>
              <w:jc w:val="both"/>
              <w:rPr>
                <w:rFonts w:cs="Verdana"/>
                <w:sz w:val="16"/>
                <w:szCs w:val="16"/>
                <w:lang w:eastAsia="es-ES"/>
              </w:rPr>
            </w:pPr>
            <w:r>
              <w:rPr>
                <w:rFonts w:cs="Verdana"/>
                <w:sz w:val="16"/>
                <w:szCs w:val="16"/>
                <w:lang w:eastAsia="es-ES"/>
              </w:rPr>
              <w:t>The project</w:t>
            </w:r>
            <w:r w:rsidRPr="009E0122">
              <w:rPr>
                <w:rFonts w:cs="Verdana"/>
                <w:sz w:val="16"/>
                <w:szCs w:val="16"/>
                <w:lang w:eastAsia="es-ES"/>
              </w:rPr>
              <w:t xml:space="preserve"> aims to </w:t>
            </w:r>
            <w:r>
              <w:rPr>
                <w:rFonts w:cs="Verdana"/>
                <w:sz w:val="16"/>
                <w:szCs w:val="16"/>
                <w:lang w:eastAsia="es-ES"/>
              </w:rPr>
              <w:t>research the measurement of hydrogen's impact</w:t>
            </w:r>
            <w:r w:rsidRPr="009E0122">
              <w:rPr>
                <w:rFonts w:cs="Verdana"/>
                <w:sz w:val="16"/>
                <w:szCs w:val="16"/>
                <w:lang w:eastAsia="es-ES"/>
              </w:rPr>
              <w:t xml:space="preserve"> on steel and gas network equipment under conditions close to </w:t>
            </w:r>
            <w:r>
              <w:rPr>
                <w:rFonts w:cs="Verdana"/>
                <w:sz w:val="16"/>
                <w:szCs w:val="16"/>
                <w:lang w:eastAsia="es-ES"/>
              </w:rPr>
              <w:t>natur</w:t>
            </w:r>
            <w:r w:rsidRPr="009E0122">
              <w:rPr>
                <w:rFonts w:cs="Verdana"/>
                <w:sz w:val="16"/>
                <w:szCs w:val="16"/>
                <w:lang w:eastAsia="es-ES"/>
              </w:rPr>
              <w:t xml:space="preserve">al operating conditions. The project </w:t>
            </w:r>
            <w:r>
              <w:rPr>
                <w:rFonts w:cs="Verdana"/>
                <w:sz w:val="16"/>
                <w:szCs w:val="16"/>
                <w:lang w:eastAsia="es-ES"/>
              </w:rPr>
              <w:t>attracts</w:t>
            </w:r>
            <w:r w:rsidRPr="009E0122">
              <w:rPr>
                <w:rFonts w:cs="Verdana"/>
                <w:sz w:val="16"/>
                <w:szCs w:val="16"/>
                <w:lang w:eastAsia="es-ES"/>
              </w:rPr>
              <w:t xml:space="preserve"> </w:t>
            </w:r>
            <w:r>
              <w:rPr>
                <w:rFonts w:cs="Verdana"/>
                <w:sz w:val="16"/>
                <w:szCs w:val="16"/>
                <w:lang w:eastAsia="es-ES"/>
              </w:rPr>
              <w:t>several</w:t>
            </w:r>
            <w:r w:rsidRPr="009E0122">
              <w:rPr>
                <w:rFonts w:cs="Verdana"/>
                <w:sz w:val="16"/>
                <w:szCs w:val="16"/>
                <w:lang w:eastAsia="es-ES"/>
              </w:rPr>
              <w:t xml:space="preserve"> European operators who share the objective of converting the networks.</w:t>
            </w:r>
          </w:p>
        </w:tc>
      </w:tr>
      <w:tr w:rsidR="007F1021" w:rsidRPr="007708FC" w14:paraId="43AB91DB" w14:textId="77777777" w:rsidTr="00B26C13">
        <w:trPr>
          <w:trHeight w:val="283"/>
          <w:jc w:val="center"/>
        </w:trPr>
        <w:tc>
          <w:tcPr>
            <w:tcW w:w="1984" w:type="dxa"/>
            <w:tcBorders>
              <w:top w:val="single" w:sz="4" w:space="0" w:color="auto"/>
              <w:left w:val="nil"/>
              <w:bottom w:val="single" w:sz="4" w:space="0" w:color="auto"/>
              <w:right w:val="nil"/>
            </w:tcBorders>
            <w:shd w:val="clear" w:color="auto" w:fill="auto"/>
            <w:vAlign w:val="center"/>
          </w:tcPr>
          <w:p w14:paraId="46A8F069" w14:textId="77777777" w:rsidR="007F1021" w:rsidRPr="00B2162F" w:rsidRDefault="007F1021" w:rsidP="00F668C6">
            <w:pPr>
              <w:autoSpaceDE w:val="0"/>
              <w:autoSpaceDN w:val="0"/>
              <w:adjustRightInd w:val="0"/>
              <w:spacing w:before="60"/>
              <w:jc w:val="both"/>
              <w:rPr>
                <w:b/>
                <w:bCs/>
                <w:sz w:val="16"/>
              </w:rPr>
            </w:pPr>
            <w:proofErr w:type="spellStart"/>
            <w:r w:rsidRPr="00B2162F">
              <w:rPr>
                <w:b/>
                <w:bCs/>
                <w:sz w:val="16"/>
              </w:rPr>
              <w:t>WindGas</w:t>
            </w:r>
            <w:proofErr w:type="spellEnd"/>
          </w:p>
        </w:tc>
        <w:tc>
          <w:tcPr>
            <w:tcW w:w="1417" w:type="dxa"/>
            <w:tcBorders>
              <w:top w:val="single" w:sz="4" w:space="0" w:color="auto"/>
              <w:left w:val="nil"/>
              <w:bottom w:val="single" w:sz="4" w:space="0" w:color="auto"/>
              <w:right w:val="nil"/>
            </w:tcBorders>
            <w:vAlign w:val="center"/>
          </w:tcPr>
          <w:p w14:paraId="5A1BB74C" w14:textId="77777777" w:rsidR="007F1021" w:rsidRPr="00332254" w:rsidRDefault="007F1021" w:rsidP="00F668C6">
            <w:pPr>
              <w:autoSpaceDE w:val="0"/>
              <w:autoSpaceDN w:val="0"/>
              <w:adjustRightInd w:val="0"/>
              <w:spacing w:before="60"/>
              <w:jc w:val="both"/>
              <w:rPr>
                <w:sz w:val="16"/>
              </w:rPr>
            </w:pPr>
            <w:r>
              <w:rPr>
                <w:sz w:val="16"/>
              </w:rPr>
              <w:t>Germany</w:t>
            </w:r>
          </w:p>
        </w:tc>
        <w:tc>
          <w:tcPr>
            <w:tcW w:w="1417" w:type="dxa"/>
            <w:tcBorders>
              <w:top w:val="single" w:sz="4" w:space="0" w:color="auto"/>
              <w:left w:val="nil"/>
              <w:bottom w:val="single" w:sz="4" w:space="0" w:color="auto"/>
              <w:right w:val="nil"/>
            </w:tcBorders>
            <w:shd w:val="clear" w:color="auto" w:fill="auto"/>
            <w:vAlign w:val="center"/>
          </w:tcPr>
          <w:p w14:paraId="7453BF90" w14:textId="77777777" w:rsidR="007F1021" w:rsidRPr="00332254" w:rsidRDefault="007F1021" w:rsidP="00F668C6">
            <w:pPr>
              <w:autoSpaceDE w:val="0"/>
              <w:autoSpaceDN w:val="0"/>
              <w:adjustRightInd w:val="0"/>
              <w:spacing w:before="60"/>
              <w:jc w:val="both"/>
              <w:rPr>
                <w:sz w:val="16"/>
              </w:rPr>
            </w:pPr>
            <w:r>
              <w:rPr>
                <w:sz w:val="16"/>
              </w:rPr>
              <w:t>2012-2016</w:t>
            </w:r>
          </w:p>
        </w:tc>
        <w:tc>
          <w:tcPr>
            <w:tcW w:w="4252" w:type="dxa"/>
            <w:tcBorders>
              <w:top w:val="single" w:sz="4" w:space="0" w:color="auto"/>
              <w:left w:val="nil"/>
              <w:bottom w:val="single" w:sz="4" w:space="0" w:color="auto"/>
              <w:right w:val="nil"/>
            </w:tcBorders>
            <w:shd w:val="clear" w:color="auto" w:fill="auto"/>
            <w:vAlign w:val="center"/>
          </w:tcPr>
          <w:p w14:paraId="4BE8F92A" w14:textId="77777777" w:rsidR="007F1021" w:rsidRPr="00332254" w:rsidRDefault="007F1021" w:rsidP="00F668C6">
            <w:pPr>
              <w:autoSpaceDE w:val="0"/>
              <w:autoSpaceDN w:val="0"/>
              <w:adjustRightInd w:val="0"/>
              <w:spacing w:before="60"/>
              <w:jc w:val="both"/>
              <w:rPr>
                <w:rFonts w:cs="Verdana"/>
                <w:sz w:val="16"/>
                <w:szCs w:val="16"/>
                <w:lang w:eastAsia="es-ES"/>
              </w:rPr>
            </w:pPr>
            <w:r>
              <w:rPr>
                <w:rFonts w:cs="Verdana"/>
                <w:sz w:val="16"/>
                <w:szCs w:val="16"/>
                <w:lang w:eastAsia="es-ES"/>
              </w:rPr>
              <w:t>Demonstration of a</w:t>
            </w:r>
            <w:r w:rsidRPr="00B2162F">
              <w:rPr>
                <w:rFonts w:cs="Verdana"/>
                <w:sz w:val="16"/>
                <w:szCs w:val="16"/>
                <w:lang w:eastAsia="es-ES"/>
              </w:rPr>
              <w:t xml:space="preserve"> blending pilot in Hamburg</w:t>
            </w:r>
            <w:r>
              <w:rPr>
                <w:rFonts w:cs="Verdana"/>
                <w:sz w:val="16"/>
                <w:szCs w:val="16"/>
                <w:lang w:eastAsia="es-ES"/>
              </w:rPr>
              <w:t xml:space="preserve"> gas grid. Hydrogen is </w:t>
            </w:r>
            <w:r w:rsidRPr="00B2162F">
              <w:rPr>
                <w:rFonts w:cs="Verdana"/>
                <w:sz w:val="16"/>
                <w:szCs w:val="16"/>
                <w:lang w:eastAsia="es-ES"/>
              </w:rPr>
              <w:t xml:space="preserve">produced by electrolysis </w:t>
            </w:r>
            <w:r>
              <w:rPr>
                <w:rFonts w:cs="Verdana"/>
                <w:sz w:val="16"/>
                <w:szCs w:val="16"/>
                <w:lang w:eastAsia="es-ES"/>
              </w:rPr>
              <w:t>with</w:t>
            </w:r>
            <w:r w:rsidRPr="00B2162F">
              <w:rPr>
                <w:rFonts w:cs="Verdana"/>
                <w:sz w:val="16"/>
                <w:szCs w:val="16"/>
                <w:lang w:eastAsia="es-ES"/>
              </w:rPr>
              <w:t xml:space="preserve"> wind power.</w:t>
            </w:r>
          </w:p>
        </w:tc>
      </w:tr>
      <w:tr w:rsidR="007F1021" w:rsidRPr="007708FC" w14:paraId="02713A85" w14:textId="77777777" w:rsidTr="00B26C13">
        <w:trPr>
          <w:trHeight w:val="283"/>
          <w:jc w:val="center"/>
        </w:trPr>
        <w:tc>
          <w:tcPr>
            <w:tcW w:w="1984" w:type="dxa"/>
            <w:tcBorders>
              <w:top w:val="single" w:sz="4" w:space="0" w:color="auto"/>
              <w:left w:val="nil"/>
              <w:bottom w:val="single" w:sz="4" w:space="0" w:color="auto"/>
              <w:right w:val="nil"/>
            </w:tcBorders>
            <w:shd w:val="clear" w:color="auto" w:fill="auto"/>
            <w:vAlign w:val="center"/>
          </w:tcPr>
          <w:p w14:paraId="280750FB" w14:textId="77777777" w:rsidR="007F1021" w:rsidRPr="00B2162F" w:rsidRDefault="007F1021" w:rsidP="00F668C6">
            <w:pPr>
              <w:autoSpaceDE w:val="0"/>
              <w:autoSpaceDN w:val="0"/>
              <w:adjustRightInd w:val="0"/>
              <w:spacing w:before="60"/>
              <w:jc w:val="both"/>
              <w:rPr>
                <w:b/>
                <w:bCs/>
                <w:sz w:val="16"/>
              </w:rPr>
            </w:pPr>
            <w:r>
              <w:rPr>
                <w:b/>
                <w:bCs/>
                <w:sz w:val="16"/>
              </w:rPr>
              <w:t>Transport of hydrogen into natural gas networks</w:t>
            </w:r>
          </w:p>
        </w:tc>
        <w:tc>
          <w:tcPr>
            <w:tcW w:w="1417" w:type="dxa"/>
            <w:tcBorders>
              <w:top w:val="single" w:sz="4" w:space="0" w:color="auto"/>
              <w:left w:val="nil"/>
              <w:bottom w:val="single" w:sz="4" w:space="0" w:color="auto"/>
              <w:right w:val="nil"/>
            </w:tcBorders>
            <w:vAlign w:val="center"/>
          </w:tcPr>
          <w:p w14:paraId="3BBA7F88" w14:textId="77777777" w:rsidR="007F1021" w:rsidRDefault="007F1021" w:rsidP="00F668C6">
            <w:pPr>
              <w:autoSpaceDE w:val="0"/>
              <w:autoSpaceDN w:val="0"/>
              <w:adjustRightInd w:val="0"/>
              <w:spacing w:before="60"/>
              <w:jc w:val="both"/>
              <w:rPr>
                <w:sz w:val="16"/>
              </w:rPr>
            </w:pPr>
            <w:r>
              <w:rPr>
                <w:sz w:val="16"/>
              </w:rPr>
              <w:t>Italy</w:t>
            </w:r>
          </w:p>
        </w:tc>
        <w:tc>
          <w:tcPr>
            <w:tcW w:w="1417" w:type="dxa"/>
            <w:tcBorders>
              <w:top w:val="single" w:sz="4" w:space="0" w:color="auto"/>
              <w:left w:val="nil"/>
              <w:bottom w:val="single" w:sz="4" w:space="0" w:color="auto"/>
              <w:right w:val="nil"/>
            </w:tcBorders>
            <w:shd w:val="clear" w:color="auto" w:fill="auto"/>
            <w:vAlign w:val="center"/>
          </w:tcPr>
          <w:p w14:paraId="7CBB4FC8" w14:textId="77777777" w:rsidR="007F1021" w:rsidRDefault="007F1021" w:rsidP="00F668C6">
            <w:pPr>
              <w:autoSpaceDE w:val="0"/>
              <w:autoSpaceDN w:val="0"/>
              <w:adjustRightInd w:val="0"/>
              <w:spacing w:before="60"/>
              <w:jc w:val="both"/>
              <w:rPr>
                <w:sz w:val="16"/>
              </w:rPr>
            </w:pPr>
            <w:r>
              <w:rPr>
                <w:sz w:val="16"/>
              </w:rPr>
              <w:t>2019-TBD</w:t>
            </w:r>
          </w:p>
        </w:tc>
        <w:tc>
          <w:tcPr>
            <w:tcW w:w="4252" w:type="dxa"/>
            <w:tcBorders>
              <w:top w:val="single" w:sz="4" w:space="0" w:color="auto"/>
              <w:left w:val="nil"/>
              <w:bottom w:val="single" w:sz="4" w:space="0" w:color="auto"/>
              <w:right w:val="nil"/>
            </w:tcBorders>
            <w:shd w:val="clear" w:color="auto" w:fill="auto"/>
            <w:vAlign w:val="center"/>
          </w:tcPr>
          <w:p w14:paraId="38F0A185" w14:textId="38F2655E" w:rsidR="007F1021" w:rsidRDefault="007F1021" w:rsidP="00F668C6">
            <w:pPr>
              <w:autoSpaceDE w:val="0"/>
              <w:autoSpaceDN w:val="0"/>
              <w:adjustRightInd w:val="0"/>
              <w:spacing w:before="60"/>
              <w:jc w:val="both"/>
              <w:rPr>
                <w:rFonts w:cs="Verdana"/>
                <w:sz w:val="16"/>
                <w:szCs w:val="16"/>
                <w:lang w:eastAsia="es-ES"/>
              </w:rPr>
            </w:pPr>
            <w:r>
              <w:rPr>
                <w:rFonts w:cs="Verdana"/>
                <w:sz w:val="16"/>
                <w:szCs w:val="16"/>
                <w:lang w:eastAsia="es-ES"/>
              </w:rPr>
              <w:t>V</w:t>
            </w:r>
            <w:r w:rsidRPr="009D0534">
              <w:rPr>
                <w:rFonts w:cs="Verdana"/>
                <w:sz w:val="16"/>
                <w:szCs w:val="16"/>
                <w:lang w:eastAsia="es-ES"/>
              </w:rPr>
              <w:t xml:space="preserve">erifying the full compatibility of </w:t>
            </w:r>
            <w:r>
              <w:rPr>
                <w:rFonts w:cs="Verdana"/>
                <w:sz w:val="16"/>
                <w:szCs w:val="16"/>
                <w:lang w:eastAsia="es-ES"/>
              </w:rPr>
              <w:t>gas</w:t>
            </w:r>
            <w:r w:rsidRPr="009D0534">
              <w:rPr>
                <w:rFonts w:cs="Verdana"/>
                <w:sz w:val="16"/>
                <w:szCs w:val="16"/>
                <w:lang w:eastAsia="es-ES"/>
              </w:rPr>
              <w:t xml:space="preserve"> infrastructures with increasing quantities of hydrogen mixed with natural gas.</w:t>
            </w:r>
            <w:r>
              <w:rPr>
                <w:rFonts w:cs="Verdana"/>
                <w:sz w:val="16"/>
                <w:szCs w:val="16"/>
                <w:lang w:eastAsia="es-ES"/>
              </w:rPr>
              <w:t xml:space="preserve"> The initial activities include introducing a mix of 10 vol</w:t>
            </w:r>
            <w:r w:rsidR="00350661">
              <w:rPr>
                <w:rFonts w:cs="Verdana"/>
                <w:sz w:val="16"/>
                <w:szCs w:val="16"/>
                <w:lang w:eastAsia="es-ES"/>
              </w:rPr>
              <w:t xml:space="preserve"> </w:t>
            </w:r>
            <w:r>
              <w:rPr>
                <w:rFonts w:cs="Verdana"/>
                <w:sz w:val="16"/>
                <w:szCs w:val="16"/>
                <w:lang w:eastAsia="es-ES"/>
              </w:rPr>
              <w:t xml:space="preserve">% hydrogen by volume and natural gas into the transmission network and testing </w:t>
            </w:r>
            <w:r w:rsidRPr="009D0534">
              <w:rPr>
                <w:rFonts w:cs="Verdana"/>
                <w:sz w:val="16"/>
                <w:szCs w:val="16"/>
                <w:lang w:eastAsia="es-ES"/>
              </w:rPr>
              <w:t xml:space="preserve">the world's first "hybrid" hydrogen turbine designed for a natural gas transportation infrastructure. The turbine </w:t>
            </w:r>
            <w:r>
              <w:rPr>
                <w:rFonts w:cs="Verdana"/>
                <w:sz w:val="16"/>
                <w:szCs w:val="16"/>
                <w:lang w:eastAsia="es-ES"/>
              </w:rPr>
              <w:t>will be</w:t>
            </w:r>
            <w:r w:rsidRPr="009D0534">
              <w:rPr>
                <w:rFonts w:cs="Verdana"/>
                <w:sz w:val="16"/>
                <w:szCs w:val="16"/>
                <w:lang w:eastAsia="es-ES"/>
              </w:rPr>
              <w:t xml:space="preserve"> </w:t>
            </w:r>
            <w:proofErr w:type="spellStart"/>
            <w:r w:rsidRPr="009D0534">
              <w:rPr>
                <w:rFonts w:cs="Verdana"/>
                <w:sz w:val="16"/>
                <w:szCs w:val="16"/>
                <w:lang w:eastAsia="es-ES"/>
              </w:rPr>
              <w:t>fueled</w:t>
            </w:r>
            <w:proofErr w:type="spellEnd"/>
            <w:r w:rsidRPr="009D0534">
              <w:rPr>
                <w:rFonts w:cs="Verdana"/>
                <w:sz w:val="16"/>
                <w:szCs w:val="16"/>
                <w:lang w:eastAsia="es-ES"/>
              </w:rPr>
              <w:t xml:space="preserve"> up to 10</w:t>
            </w:r>
            <w:r>
              <w:rPr>
                <w:rFonts w:cs="Verdana"/>
                <w:sz w:val="16"/>
                <w:szCs w:val="16"/>
                <w:lang w:eastAsia="es-ES"/>
              </w:rPr>
              <w:t xml:space="preserve"> vol</w:t>
            </w:r>
            <w:r w:rsidR="00350661">
              <w:rPr>
                <w:rFonts w:cs="Verdana"/>
                <w:sz w:val="16"/>
                <w:szCs w:val="16"/>
                <w:lang w:eastAsia="es-ES"/>
              </w:rPr>
              <w:t xml:space="preserve"> </w:t>
            </w:r>
            <w:r w:rsidRPr="009D0534">
              <w:rPr>
                <w:rFonts w:cs="Verdana"/>
                <w:sz w:val="16"/>
                <w:szCs w:val="16"/>
                <w:lang w:eastAsia="es-ES"/>
              </w:rPr>
              <w:t>% with hydrogen.</w:t>
            </w:r>
          </w:p>
        </w:tc>
      </w:tr>
      <w:tr w:rsidR="007F1021" w:rsidRPr="007708FC" w14:paraId="0DEA3AC2" w14:textId="77777777" w:rsidTr="00B26C13">
        <w:trPr>
          <w:trHeight w:val="283"/>
          <w:jc w:val="center"/>
        </w:trPr>
        <w:tc>
          <w:tcPr>
            <w:tcW w:w="1984" w:type="dxa"/>
            <w:tcBorders>
              <w:top w:val="single" w:sz="4" w:space="0" w:color="auto"/>
              <w:left w:val="nil"/>
              <w:bottom w:val="single" w:sz="4" w:space="0" w:color="auto"/>
              <w:right w:val="nil"/>
            </w:tcBorders>
            <w:shd w:val="clear" w:color="auto" w:fill="auto"/>
            <w:vAlign w:val="center"/>
          </w:tcPr>
          <w:p w14:paraId="4CDEB391" w14:textId="77777777" w:rsidR="007F1021" w:rsidRPr="00B2162F" w:rsidRDefault="007F1021" w:rsidP="00F668C6">
            <w:pPr>
              <w:autoSpaceDE w:val="0"/>
              <w:autoSpaceDN w:val="0"/>
              <w:adjustRightInd w:val="0"/>
              <w:spacing w:before="60"/>
              <w:jc w:val="both"/>
              <w:rPr>
                <w:b/>
                <w:bCs/>
                <w:sz w:val="16"/>
              </w:rPr>
            </w:pPr>
            <w:r w:rsidRPr="00B06580">
              <w:rPr>
                <w:b/>
                <w:bCs/>
                <w:sz w:val="16"/>
              </w:rPr>
              <w:t>Green Pipeline Project</w:t>
            </w:r>
          </w:p>
        </w:tc>
        <w:tc>
          <w:tcPr>
            <w:tcW w:w="1417" w:type="dxa"/>
            <w:tcBorders>
              <w:top w:val="single" w:sz="4" w:space="0" w:color="auto"/>
              <w:left w:val="nil"/>
              <w:bottom w:val="single" w:sz="4" w:space="0" w:color="auto"/>
              <w:right w:val="nil"/>
            </w:tcBorders>
            <w:vAlign w:val="center"/>
          </w:tcPr>
          <w:p w14:paraId="169BA4D0" w14:textId="77777777" w:rsidR="007F1021" w:rsidRDefault="007F1021" w:rsidP="00F668C6">
            <w:pPr>
              <w:autoSpaceDE w:val="0"/>
              <w:autoSpaceDN w:val="0"/>
              <w:adjustRightInd w:val="0"/>
              <w:spacing w:before="60"/>
              <w:jc w:val="both"/>
              <w:rPr>
                <w:sz w:val="16"/>
              </w:rPr>
            </w:pPr>
            <w:r>
              <w:rPr>
                <w:sz w:val="16"/>
              </w:rPr>
              <w:t>Portugal</w:t>
            </w:r>
          </w:p>
        </w:tc>
        <w:tc>
          <w:tcPr>
            <w:tcW w:w="1417" w:type="dxa"/>
            <w:tcBorders>
              <w:top w:val="single" w:sz="4" w:space="0" w:color="auto"/>
              <w:left w:val="nil"/>
              <w:bottom w:val="single" w:sz="4" w:space="0" w:color="auto"/>
              <w:right w:val="nil"/>
            </w:tcBorders>
            <w:shd w:val="clear" w:color="auto" w:fill="auto"/>
            <w:vAlign w:val="center"/>
          </w:tcPr>
          <w:p w14:paraId="6C0E6F97" w14:textId="77777777" w:rsidR="007F1021" w:rsidRDefault="007F1021" w:rsidP="00F668C6">
            <w:pPr>
              <w:autoSpaceDE w:val="0"/>
              <w:autoSpaceDN w:val="0"/>
              <w:adjustRightInd w:val="0"/>
              <w:spacing w:before="60"/>
              <w:jc w:val="both"/>
              <w:rPr>
                <w:sz w:val="16"/>
              </w:rPr>
            </w:pPr>
            <w:r>
              <w:rPr>
                <w:sz w:val="16"/>
              </w:rPr>
              <w:t>2021-TBD</w:t>
            </w:r>
          </w:p>
        </w:tc>
        <w:tc>
          <w:tcPr>
            <w:tcW w:w="4252" w:type="dxa"/>
            <w:tcBorders>
              <w:top w:val="single" w:sz="4" w:space="0" w:color="auto"/>
              <w:left w:val="nil"/>
              <w:bottom w:val="single" w:sz="4" w:space="0" w:color="auto"/>
              <w:right w:val="nil"/>
            </w:tcBorders>
            <w:shd w:val="clear" w:color="auto" w:fill="auto"/>
            <w:vAlign w:val="center"/>
          </w:tcPr>
          <w:p w14:paraId="00DBDE42" w14:textId="2556CF0D" w:rsidR="007F1021" w:rsidRDefault="007F1021" w:rsidP="00F668C6">
            <w:pPr>
              <w:autoSpaceDE w:val="0"/>
              <w:autoSpaceDN w:val="0"/>
              <w:adjustRightInd w:val="0"/>
              <w:spacing w:before="60"/>
              <w:jc w:val="both"/>
              <w:rPr>
                <w:rFonts w:cs="Verdana"/>
                <w:sz w:val="16"/>
                <w:szCs w:val="16"/>
                <w:lang w:eastAsia="es-ES"/>
              </w:rPr>
            </w:pPr>
            <w:r>
              <w:rPr>
                <w:rFonts w:cs="Verdana"/>
                <w:sz w:val="16"/>
                <w:szCs w:val="16"/>
                <w:lang w:eastAsia="es-ES"/>
              </w:rPr>
              <w:t>P</w:t>
            </w:r>
            <w:r w:rsidRPr="00B06580">
              <w:rPr>
                <w:rFonts w:cs="Verdana"/>
                <w:sz w:val="16"/>
                <w:szCs w:val="16"/>
                <w:lang w:eastAsia="es-ES"/>
              </w:rPr>
              <w:t>ioneering project in Portugal that, for the first time, will introduce Green Hydrogen into the Natural Gas network.</w:t>
            </w:r>
            <w:r>
              <w:rPr>
                <w:rFonts w:cs="Verdana"/>
                <w:sz w:val="16"/>
                <w:szCs w:val="16"/>
                <w:lang w:eastAsia="es-ES"/>
              </w:rPr>
              <w:t xml:space="preserve"> I</w:t>
            </w:r>
            <w:r w:rsidRPr="00B06580">
              <w:rPr>
                <w:rFonts w:cs="Verdana"/>
                <w:sz w:val="16"/>
                <w:szCs w:val="16"/>
                <w:lang w:eastAsia="es-ES"/>
              </w:rPr>
              <w:t xml:space="preserve">n a closed network in </w:t>
            </w:r>
            <w:proofErr w:type="spellStart"/>
            <w:r w:rsidRPr="00B06580">
              <w:rPr>
                <w:rFonts w:cs="Verdana"/>
                <w:sz w:val="16"/>
                <w:szCs w:val="16"/>
                <w:lang w:eastAsia="es-ES"/>
              </w:rPr>
              <w:t>Seixal</w:t>
            </w:r>
            <w:proofErr w:type="spellEnd"/>
            <w:r w:rsidRPr="00B06580">
              <w:rPr>
                <w:rFonts w:cs="Verdana"/>
                <w:sz w:val="16"/>
                <w:szCs w:val="16"/>
                <w:lang w:eastAsia="es-ES"/>
              </w:rPr>
              <w:t xml:space="preserve">, it will distribute a mixture of Hydrogen and natural gas to around 80 consumers in the </w:t>
            </w:r>
            <w:r w:rsidRPr="00B06580">
              <w:rPr>
                <w:rFonts w:cs="Verdana"/>
                <w:sz w:val="16"/>
                <w:szCs w:val="16"/>
                <w:lang w:eastAsia="es-ES"/>
              </w:rPr>
              <w:lastRenderedPageBreak/>
              <w:t xml:space="preserve">residential, </w:t>
            </w:r>
            <w:proofErr w:type="gramStart"/>
            <w:r w:rsidRPr="00B06580">
              <w:rPr>
                <w:rFonts w:cs="Verdana"/>
                <w:sz w:val="16"/>
                <w:szCs w:val="16"/>
                <w:lang w:eastAsia="es-ES"/>
              </w:rPr>
              <w:t>non-residential</w:t>
            </w:r>
            <w:proofErr w:type="gramEnd"/>
            <w:r w:rsidRPr="00B06580">
              <w:rPr>
                <w:rFonts w:cs="Verdana"/>
                <w:sz w:val="16"/>
                <w:szCs w:val="16"/>
                <w:lang w:eastAsia="es-ES"/>
              </w:rPr>
              <w:t xml:space="preserve"> and industrial sectors.</w:t>
            </w:r>
            <w:r>
              <w:rPr>
                <w:rFonts w:cs="Verdana"/>
                <w:sz w:val="16"/>
                <w:szCs w:val="16"/>
                <w:lang w:eastAsia="es-ES"/>
              </w:rPr>
              <w:t xml:space="preserve"> The</w:t>
            </w:r>
            <w:r w:rsidRPr="00B06580">
              <w:rPr>
                <w:rFonts w:cs="Verdana"/>
                <w:sz w:val="16"/>
                <w:szCs w:val="16"/>
                <w:lang w:eastAsia="es-ES"/>
              </w:rPr>
              <w:t xml:space="preserve"> injection start</w:t>
            </w:r>
            <w:r>
              <w:rPr>
                <w:rFonts w:cs="Verdana"/>
                <w:sz w:val="16"/>
                <w:szCs w:val="16"/>
                <w:lang w:eastAsia="es-ES"/>
              </w:rPr>
              <w:t>s</w:t>
            </w:r>
            <w:r w:rsidRPr="00B06580">
              <w:rPr>
                <w:rFonts w:cs="Verdana"/>
                <w:sz w:val="16"/>
                <w:szCs w:val="16"/>
                <w:lang w:eastAsia="es-ES"/>
              </w:rPr>
              <w:t xml:space="preserve"> in January 2022</w:t>
            </w:r>
            <w:r>
              <w:rPr>
                <w:rFonts w:cs="Verdana"/>
                <w:sz w:val="16"/>
                <w:szCs w:val="16"/>
                <w:lang w:eastAsia="es-ES"/>
              </w:rPr>
              <w:t xml:space="preserve"> with a </w:t>
            </w:r>
            <w:r w:rsidRPr="00B06580">
              <w:rPr>
                <w:rFonts w:cs="Verdana"/>
                <w:sz w:val="16"/>
                <w:szCs w:val="16"/>
                <w:lang w:eastAsia="es-ES"/>
              </w:rPr>
              <w:t xml:space="preserve">mix </w:t>
            </w:r>
            <w:r>
              <w:rPr>
                <w:rFonts w:cs="Verdana"/>
                <w:sz w:val="16"/>
                <w:szCs w:val="16"/>
                <w:lang w:eastAsia="es-ES"/>
              </w:rPr>
              <w:t>of</w:t>
            </w:r>
            <w:r w:rsidRPr="00B06580">
              <w:rPr>
                <w:rFonts w:cs="Verdana"/>
                <w:sz w:val="16"/>
                <w:szCs w:val="16"/>
                <w:lang w:eastAsia="es-ES"/>
              </w:rPr>
              <w:t xml:space="preserve"> 2</w:t>
            </w:r>
            <w:r>
              <w:rPr>
                <w:rFonts w:cs="Verdana"/>
                <w:sz w:val="16"/>
                <w:szCs w:val="16"/>
                <w:lang w:eastAsia="es-ES"/>
              </w:rPr>
              <w:t xml:space="preserve"> vol</w:t>
            </w:r>
            <w:r w:rsidR="00350661">
              <w:rPr>
                <w:rFonts w:cs="Verdana"/>
                <w:sz w:val="16"/>
                <w:szCs w:val="16"/>
                <w:lang w:eastAsia="es-ES"/>
              </w:rPr>
              <w:t xml:space="preserve"> </w:t>
            </w:r>
            <w:r w:rsidRPr="00B06580">
              <w:rPr>
                <w:rFonts w:cs="Verdana"/>
                <w:sz w:val="16"/>
                <w:szCs w:val="16"/>
                <w:lang w:eastAsia="es-ES"/>
              </w:rPr>
              <w:t xml:space="preserve">% </w:t>
            </w:r>
            <w:r>
              <w:rPr>
                <w:rFonts w:cs="Verdana"/>
                <w:sz w:val="16"/>
                <w:szCs w:val="16"/>
                <w:lang w:eastAsia="es-ES"/>
              </w:rPr>
              <w:t>h</w:t>
            </w:r>
            <w:r w:rsidRPr="00B06580">
              <w:rPr>
                <w:rFonts w:cs="Verdana"/>
                <w:sz w:val="16"/>
                <w:szCs w:val="16"/>
                <w:lang w:eastAsia="es-ES"/>
              </w:rPr>
              <w:t xml:space="preserve">ydrogen initially and gradually </w:t>
            </w:r>
            <w:r>
              <w:rPr>
                <w:rFonts w:cs="Verdana"/>
                <w:sz w:val="16"/>
                <w:szCs w:val="16"/>
                <w:lang w:eastAsia="es-ES"/>
              </w:rPr>
              <w:t xml:space="preserve">will </w:t>
            </w:r>
            <w:r w:rsidRPr="00B06580">
              <w:rPr>
                <w:rFonts w:cs="Verdana"/>
                <w:sz w:val="16"/>
                <w:szCs w:val="16"/>
                <w:lang w:eastAsia="es-ES"/>
              </w:rPr>
              <w:t>increase to 20</w:t>
            </w:r>
            <w:r>
              <w:rPr>
                <w:rFonts w:cs="Verdana"/>
                <w:sz w:val="16"/>
                <w:szCs w:val="16"/>
                <w:lang w:eastAsia="es-ES"/>
              </w:rPr>
              <w:t xml:space="preserve"> vol</w:t>
            </w:r>
            <w:r w:rsidR="00350661">
              <w:rPr>
                <w:rFonts w:cs="Verdana"/>
                <w:sz w:val="16"/>
                <w:szCs w:val="16"/>
                <w:lang w:eastAsia="es-ES"/>
              </w:rPr>
              <w:t xml:space="preserve"> </w:t>
            </w:r>
            <w:r w:rsidRPr="00B06580">
              <w:rPr>
                <w:rFonts w:cs="Verdana"/>
                <w:sz w:val="16"/>
                <w:szCs w:val="16"/>
                <w:lang w:eastAsia="es-ES"/>
              </w:rPr>
              <w:t>% within 2 years</w:t>
            </w:r>
            <w:r>
              <w:rPr>
                <w:rFonts w:cs="Verdana"/>
                <w:sz w:val="16"/>
                <w:szCs w:val="16"/>
                <w:lang w:eastAsia="es-ES"/>
              </w:rPr>
              <w:t>.</w:t>
            </w:r>
          </w:p>
        </w:tc>
      </w:tr>
      <w:tr w:rsidR="007F1021" w:rsidRPr="007708FC" w14:paraId="265DDE76" w14:textId="77777777" w:rsidTr="00B26C13">
        <w:trPr>
          <w:trHeight w:val="283"/>
          <w:jc w:val="center"/>
        </w:trPr>
        <w:tc>
          <w:tcPr>
            <w:tcW w:w="1984" w:type="dxa"/>
            <w:tcBorders>
              <w:top w:val="single" w:sz="4" w:space="0" w:color="auto"/>
              <w:left w:val="nil"/>
              <w:bottom w:val="single" w:sz="4" w:space="0" w:color="auto"/>
              <w:right w:val="nil"/>
            </w:tcBorders>
            <w:shd w:val="clear" w:color="auto" w:fill="auto"/>
            <w:vAlign w:val="center"/>
          </w:tcPr>
          <w:p w14:paraId="6DDCE178" w14:textId="77777777" w:rsidR="007F1021" w:rsidRDefault="007F1021" w:rsidP="00F668C6">
            <w:pPr>
              <w:autoSpaceDE w:val="0"/>
              <w:autoSpaceDN w:val="0"/>
              <w:adjustRightInd w:val="0"/>
              <w:spacing w:before="60"/>
              <w:jc w:val="both"/>
              <w:rPr>
                <w:b/>
                <w:bCs/>
                <w:sz w:val="16"/>
              </w:rPr>
            </w:pPr>
            <w:r>
              <w:rPr>
                <w:b/>
                <w:bCs/>
                <w:sz w:val="16"/>
              </w:rPr>
              <w:lastRenderedPageBreak/>
              <w:t xml:space="preserve">P2G </w:t>
            </w:r>
            <w:proofErr w:type="spellStart"/>
            <w:r>
              <w:rPr>
                <w:b/>
                <w:bCs/>
                <w:sz w:val="16"/>
              </w:rPr>
              <w:t>Ameland</w:t>
            </w:r>
            <w:proofErr w:type="spellEnd"/>
          </w:p>
          <w:p w14:paraId="4DC29864" w14:textId="77777777" w:rsidR="007F1021" w:rsidRPr="00EF26D0" w:rsidRDefault="007F1021" w:rsidP="00F668C6">
            <w:pPr>
              <w:autoSpaceDE w:val="0"/>
              <w:autoSpaceDN w:val="0"/>
              <w:adjustRightInd w:val="0"/>
              <w:spacing w:before="60"/>
              <w:jc w:val="both"/>
              <w:rPr>
                <w:sz w:val="16"/>
              </w:rPr>
            </w:pPr>
            <w:r w:rsidRPr="00EF26D0">
              <w:rPr>
                <w:sz w:val="16"/>
              </w:rPr>
              <w:t xml:space="preserve">‘Hydrogen in natural gas on </w:t>
            </w:r>
            <w:proofErr w:type="spellStart"/>
            <w:r w:rsidRPr="00EF26D0">
              <w:rPr>
                <w:sz w:val="16"/>
              </w:rPr>
              <w:t>Ameland</w:t>
            </w:r>
            <w:proofErr w:type="spellEnd"/>
            <w:r w:rsidRPr="00EF26D0">
              <w:rPr>
                <w:sz w:val="16"/>
              </w:rPr>
              <w:t>’</w:t>
            </w:r>
          </w:p>
        </w:tc>
        <w:tc>
          <w:tcPr>
            <w:tcW w:w="1417" w:type="dxa"/>
            <w:tcBorders>
              <w:top w:val="single" w:sz="4" w:space="0" w:color="auto"/>
              <w:left w:val="nil"/>
              <w:bottom w:val="single" w:sz="4" w:space="0" w:color="auto"/>
              <w:right w:val="nil"/>
            </w:tcBorders>
            <w:vAlign w:val="center"/>
          </w:tcPr>
          <w:p w14:paraId="3D5D03D4" w14:textId="77777777" w:rsidR="007F1021" w:rsidRDefault="007F1021" w:rsidP="00F668C6">
            <w:pPr>
              <w:autoSpaceDE w:val="0"/>
              <w:autoSpaceDN w:val="0"/>
              <w:adjustRightInd w:val="0"/>
              <w:spacing w:before="60"/>
              <w:jc w:val="both"/>
              <w:rPr>
                <w:sz w:val="16"/>
              </w:rPr>
            </w:pPr>
            <w:r>
              <w:rPr>
                <w:sz w:val="16"/>
              </w:rPr>
              <w:t>The Netherlands</w:t>
            </w:r>
          </w:p>
        </w:tc>
        <w:tc>
          <w:tcPr>
            <w:tcW w:w="1417" w:type="dxa"/>
            <w:tcBorders>
              <w:top w:val="single" w:sz="4" w:space="0" w:color="auto"/>
              <w:left w:val="nil"/>
              <w:bottom w:val="single" w:sz="4" w:space="0" w:color="auto"/>
              <w:right w:val="nil"/>
            </w:tcBorders>
            <w:shd w:val="clear" w:color="auto" w:fill="auto"/>
            <w:vAlign w:val="center"/>
          </w:tcPr>
          <w:p w14:paraId="3468AB24" w14:textId="77777777" w:rsidR="007F1021" w:rsidRDefault="007F1021" w:rsidP="00F668C6">
            <w:pPr>
              <w:autoSpaceDE w:val="0"/>
              <w:autoSpaceDN w:val="0"/>
              <w:adjustRightInd w:val="0"/>
              <w:spacing w:before="60"/>
              <w:jc w:val="both"/>
              <w:rPr>
                <w:sz w:val="16"/>
              </w:rPr>
            </w:pPr>
            <w:r>
              <w:rPr>
                <w:sz w:val="16"/>
              </w:rPr>
              <w:t>2008-2012</w:t>
            </w:r>
          </w:p>
        </w:tc>
        <w:tc>
          <w:tcPr>
            <w:tcW w:w="4252" w:type="dxa"/>
            <w:tcBorders>
              <w:top w:val="single" w:sz="4" w:space="0" w:color="auto"/>
              <w:left w:val="nil"/>
              <w:bottom w:val="single" w:sz="4" w:space="0" w:color="auto"/>
              <w:right w:val="nil"/>
            </w:tcBorders>
            <w:shd w:val="clear" w:color="auto" w:fill="auto"/>
            <w:vAlign w:val="center"/>
          </w:tcPr>
          <w:p w14:paraId="2E7A56BA" w14:textId="7792CDD7" w:rsidR="007F1021" w:rsidRDefault="007F1021" w:rsidP="00F668C6">
            <w:pPr>
              <w:autoSpaceDE w:val="0"/>
              <w:autoSpaceDN w:val="0"/>
              <w:adjustRightInd w:val="0"/>
              <w:spacing w:before="60"/>
              <w:jc w:val="both"/>
              <w:rPr>
                <w:rFonts w:cs="Verdana"/>
                <w:sz w:val="16"/>
                <w:szCs w:val="16"/>
                <w:lang w:eastAsia="es-ES"/>
              </w:rPr>
            </w:pPr>
            <w:r>
              <w:rPr>
                <w:rFonts w:cs="Verdana"/>
                <w:sz w:val="16"/>
                <w:szCs w:val="16"/>
                <w:lang w:eastAsia="es-ES"/>
              </w:rPr>
              <w:t>Investigating</w:t>
            </w:r>
            <w:r w:rsidRPr="00EF26D0">
              <w:rPr>
                <w:rFonts w:cs="Verdana"/>
                <w:sz w:val="16"/>
                <w:szCs w:val="16"/>
                <w:lang w:eastAsia="es-ES"/>
              </w:rPr>
              <w:t xml:space="preserve"> the impact of injection of up to 20</w:t>
            </w:r>
            <w:r>
              <w:rPr>
                <w:rFonts w:cs="Verdana"/>
                <w:sz w:val="16"/>
                <w:szCs w:val="16"/>
                <w:lang w:eastAsia="es-ES"/>
              </w:rPr>
              <w:t xml:space="preserve"> vol</w:t>
            </w:r>
            <w:r w:rsidR="00350661">
              <w:rPr>
                <w:rFonts w:cs="Verdana"/>
                <w:sz w:val="16"/>
                <w:szCs w:val="16"/>
                <w:lang w:eastAsia="es-ES"/>
              </w:rPr>
              <w:t xml:space="preserve"> </w:t>
            </w:r>
            <w:r w:rsidRPr="00EF26D0">
              <w:rPr>
                <w:rFonts w:cs="Verdana"/>
                <w:sz w:val="16"/>
                <w:szCs w:val="16"/>
                <w:lang w:eastAsia="es-ES"/>
              </w:rPr>
              <w:t>% hydrogen</w:t>
            </w:r>
            <w:r>
              <w:rPr>
                <w:rFonts w:cs="Verdana"/>
                <w:sz w:val="16"/>
                <w:szCs w:val="16"/>
                <w:lang w:eastAsia="es-ES"/>
              </w:rPr>
              <w:t xml:space="preserve"> </w:t>
            </w:r>
            <w:r w:rsidRPr="00EF26D0">
              <w:rPr>
                <w:rFonts w:cs="Verdana"/>
                <w:sz w:val="16"/>
                <w:szCs w:val="16"/>
                <w:lang w:eastAsia="es-ES"/>
              </w:rPr>
              <w:t xml:space="preserve">in the natural gas grid supplying 14 homes of the </w:t>
            </w:r>
            <w:proofErr w:type="spellStart"/>
            <w:r w:rsidRPr="00EF26D0">
              <w:rPr>
                <w:rFonts w:cs="Verdana"/>
                <w:sz w:val="16"/>
                <w:szCs w:val="16"/>
                <w:lang w:eastAsia="es-ES"/>
              </w:rPr>
              <w:t>Noorderlicht</w:t>
            </w:r>
            <w:proofErr w:type="spellEnd"/>
            <w:r w:rsidRPr="00EF26D0">
              <w:rPr>
                <w:rFonts w:cs="Verdana"/>
                <w:sz w:val="16"/>
                <w:szCs w:val="16"/>
                <w:lang w:eastAsia="es-ES"/>
              </w:rPr>
              <w:t xml:space="preserve"> apartment complex on Amerland</w:t>
            </w:r>
            <w:r>
              <w:rPr>
                <w:rFonts w:cs="Verdana"/>
                <w:sz w:val="16"/>
                <w:szCs w:val="16"/>
                <w:lang w:eastAsia="es-ES"/>
              </w:rPr>
              <w:t xml:space="preserve"> </w:t>
            </w:r>
            <w:r w:rsidRPr="00EF26D0">
              <w:rPr>
                <w:rFonts w:cs="Verdana"/>
                <w:sz w:val="16"/>
                <w:szCs w:val="16"/>
                <w:lang w:eastAsia="es-ES"/>
              </w:rPr>
              <w:t>Island.</w:t>
            </w:r>
          </w:p>
        </w:tc>
      </w:tr>
      <w:tr w:rsidR="007F1021" w:rsidRPr="007708FC" w14:paraId="0964155F" w14:textId="77777777" w:rsidTr="00B26C13">
        <w:trPr>
          <w:trHeight w:val="283"/>
          <w:jc w:val="center"/>
        </w:trPr>
        <w:tc>
          <w:tcPr>
            <w:tcW w:w="1984" w:type="dxa"/>
            <w:tcBorders>
              <w:top w:val="single" w:sz="4" w:space="0" w:color="auto"/>
              <w:left w:val="nil"/>
              <w:bottom w:val="single" w:sz="4" w:space="0" w:color="auto"/>
              <w:right w:val="nil"/>
            </w:tcBorders>
            <w:shd w:val="clear" w:color="auto" w:fill="auto"/>
            <w:vAlign w:val="center"/>
          </w:tcPr>
          <w:p w14:paraId="7A2C13E1" w14:textId="77777777" w:rsidR="007F1021" w:rsidRDefault="007F1021" w:rsidP="00F668C6">
            <w:pPr>
              <w:autoSpaceDE w:val="0"/>
              <w:autoSpaceDN w:val="0"/>
              <w:adjustRightInd w:val="0"/>
              <w:spacing w:before="60"/>
              <w:jc w:val="both"/>
              <w:rPr>
                <w:b/>
                <w:bCs/>
                <w:sz w:val="16"/>
              </w:rPr>
            </w:pPr>
            <w:proofErr w:type="spellStart"/>
            <w:r>
              <w:rPr>
                <w:b/>
                <w:bCs/>
                <w:sz w:val="16"/>
              </w:rPr>
              <w:t>HyDelta</w:t>
            </w:r>
            <w:proofErr w:type="spellEnd"/>
          </w:p>
        </w:tc>
        <w:tc>
          <w:tcPr>
            <w:tcW w:w="1417" w:type="dxa"/>
            <w:tcBorders>
              <w:top w:val="single" w:sz="4" w:space="0" w:color="auto"/>
              <w:left w:val="nil"/>
              <w:bottom w:val="single" w:sz="4" w:space="0" w:color="auto"/>
              <w:right w:val="nil"/>
            </w:tcBorders>
            <w:vAlign w:val="center"/>
          </w:tcPr>
          <w:p w14:paraId="080395BA" w14:textId="77777777" w:rsidR="007F1021" w:rsidRDefault="007F1021" w:rsidP="00F668C6">
            <w:pPr>
              <w:autoSpaceDE w:val="0"/>
              <w:autoSpaceDN w:val="0"/>
              <w:adjustRightInd w:val="0"/>
              <w:spacing w:before="60"/>
              <w:jc w:val="both"/>
              <w:rPr>
                <w:sz w:val="16"/>
              </w:rPr>
            </w:pPr>
            <w:r>
              <w:rPr>
                <w:sz w:val="16"/>
              </w:rPr>
              <w:t>The Netherlands</w:t>
            </w:r>
          </w:p>
        </w:tc>
        <w:tc>
          <w:tcPr>
            <w:tcW w:w="1417" w:type="dxa"/>
            <w:tcBorders>
              <w:top w:val="single" w:sz="4" w:space="0" w:color="auto"/>
              <w:left w:val="nil"/>
              <w:bottom w:val="single" w:sz="4" w:space="0" w:color="auto"/>
              <w:right w:val="nil"/>
            </w:tcBorders>
            <w:shd w:val="clear" w:color="auto" w:fill="auto"/>
            <w:vAlign w:val="center"/>
          </w:tcPr>
          <w:p w14:paraId="0C93C522" w14:textId="77777777" w:rsidR="007F1021" w:rsidRDefault="007F1021" w:rsidP="00F668C6">
            <w:pPr>
              <w:autoSpaceDE w:val="0"/>
              <w:autoSpaceDN w:val="0"/>
              <w:adjustRightInd w:val="0"/>
              <w:spacing w:before="60"/>
              <w:jc w:val="both"/>
              <w:rPr>
                <w:sz w:val="16"/>
              </w:rPr>
            </w:pPr>
            <w:r>
              <w:rPr>
                <w:sz w:val="16"/>
              </w:rPr>
              <w:t>2020-2023</w:t>
            </w:r>
          </w:p>
        </w:tc>
        <w:tc>
          <w:tcPr>
            <w:tcW w:w="4252" w:type="dxa"/>
            <w:tcBorders>
              <w:top w:val="single" w:sz="4" w:space="0" w:color="auto"/>
              <w:left w:val="nil"/>
              <w:bottom w:val="single" w:sz="4" w:space="0" w:color="auto"/>
              <w:right w:val="nil"/>
            </w:tcBorders>
            <w:shd w:val="clear" w:color="auto" w:fill="auto"/>
            <w:vAlign w:val="center"/>
          </w:tcPr>
          <w:p w14:paraId="1BFE648C" w14:textId="77777777" w:rsidR="007F1021" w:rsidRDefault="007F1021" w:rsidP="00F668C6">
            <w:pPr>
              <w:autoSpaceDE w:val="0"/>
              <w:autoSpaceDN w:val="0"/>
              <w:adjustRightInd w:val="0"/>
              <w:spacing w:before="60"/>
              <w:jc w:val="both"/>
              <w:rPr>
                <w:rFonts w:cs="Verdana"/>
                <w:sz w:val="16"/>
                <w:szCs w:val="16"/>
                <w:lang w:eastAsia="es-ES"/>
              </w:rPr>
            </w:pPr>
            <w:r w:rsidRPr="00FB6372">
              <w:rPr>
                <w:rFonts w:cs="Verdana"/>
                <w:sz w:val="16"/>
                <w:szCs w:val="16"/>
                <w:lang w:eastAsia="es-ES"/>
              </w:rPr>
              <w:t xml:space="preserve">Dutch national research programme aimed at the safe integration of hydrogen into the existing gas transport and distribution infrastructure. The cooperation programme </w:t>
            </w:r>
            <w:r>
              <w:rPr>
                <w:rFonts w:cs="Verdana"/>
                <w:sz w:val="16"/>
                <w:szCs w:val="16"/>
                <w:lang w:eastAsia="es-ES"/>
              </w:rPr>
              <w:t>seek</w:t>
            </w:r>
            <w:r w:rsidRPr="00FB6372">
              <w:rPr>
                <w:rFonts w:cs="Verdana"/>
                <w:sz w:val="16"/>
                <w:szCs w:val="16"/>
                <w:lang w:eastAsia="es-ES"/>
              </w:rPr>
              <w:t>s to remove barriers towards a large-scale implementation of hydrogen in the Netherlands</w:t>
            </w:r>
            <w:r>
              <w:rPr>
                <w:rFonts w:cs="Verdana"/>
                <w:sz w:val="16"/>
                <w:szCs w:val="16"/>
                <w:lang w:eastAsia="es-ES"/>
              </w:rPr>
              <w:t>.</w:t>
            </w:r>
          </w:p>
        </w:tc>
      </w:tr>
      <w:tr w:rsidR="007F1021" w:rsidRPr="007708FC" w14:paraId="35C1C9E1" w14:textId="77777777" w:rsidTr="00B26C13">
        <w:trPr>
          <w:trHeight w:val="283"/>
          <w:jc w:val="center"/>
        </w:trPr>
        <w:tc>
          <w:tcPr>
            <w:tcW w:w="1984" w:type="dxa"/>
            <w:tcBorders>
              <w:top w:val="single" w:sz="4" w:space="0" w:color="auto"/>
              <w:left w:val="nil"/>
              <w:bottom w:val="single" w:sz="4" w:space="0" w:color="auto"/>
              <w:right w:val="nil"/>
            </w:tcBorders>
            <w:shd w:val="clear" w:color="auto" w:fill="auto"/>
            <w:vAlign w:val="center"/>
          </w:tcPr>
          <w:p w14:paraId="5F948E10" w14:textId="77777777" w:rsidR="007F1021" w:rsidRPr="00E8564E" w:rsidRDefault="007F1021" w:rsidP="00F668C6">
            <w:pPr>
              <w:autoSpaceDE w:val="0"/>
              <w:autoSpaceDN w:val="0"/>
              <w:adjustRightInd w:val="0"/>
              <w:spacing w:before="60"/>
              <w:jc w:val="both"/>
              <w:rPr>
                <w:b/>
                <w:bCs/>
                <w:sz w:val="16"/>
              </w:rPr>
            </w:pPr>
            <w:r w:rsidRPr="00E8564E">
              <w:rPr>
                <w:b/>
                <w:bCs/>
                <w:sz w:val="16"/>
              </w:rPr>
              <w:t>Hy4Heat</w:t>
            </w:r>
          </w:p>
          <w:p w14:paraId="611AF0A0" w14:textId="77777777" w:rsidR="007F1021" w:rsidRPr="00B06580" w:rsidRDefault="007F1021" w:rsidP="00F668C6">
            <w:pPr>
              <w:autoSpaceDE w:val="0"/>
              <w:autoSpaceDN w:val="0"/>
              <w:adjustRightInd w:val="0"/>
              <w:spacing w:before="60"/>
              <w:jc w:val="both"/>
              <w:rPr>
                <w:b/>
                <w:bCs/>
                <w:sz w:val="16"/>
              </w:rPr>
            </w:pPr>
            <w:r>
              <w:rPr>
                <w:sz w:val="16"/>
              </w:rPr>
              <w:t>‘H</w:t>
            </w:r>
            <w:r w:rsidRPr="00E8564E">
              <w:rPr>
                <w:sz w:val="16"/>
              </w:rPr>
              <w:t>ydrogen for heating demonstration programme</w:t>
            </w:r>
            <w:r>
              <w:rPr>
                <w:sz w:val="16"/>
              </w:rPr>
              <w:t>’</w:t>
            </w:r>
          </w:p>
        </w:tc>
        <w:tc>
          <w:tcPr>
            <w:tcW w:w="1417" w:type="dxa"/>
            <w:tcBorders>
              <w:top w:val="single" w:sz="4" w:space="0" w:color="auto"/>
              <w:left w:val="nil"/>
              <w:bottom w:val="single" w:sz="4" w:space="0" w:color="auto"/>
              <w:right w:val="nil"/>
            </w:tcBorders>
            <w:vAlign w:val="center"/>
          </w:tcPr>
          <w:p w14:paraId="618E0AC8" w14:textId="77777777" w:rsidR="007F1021" w:rsidRPr="00332254" w:rsidRDefault="007F1021" w:rsidP="00F668C6">
            <w:pPr>
              <w:autoSpaceDE w:val="0"/>
              <w:autoSpaceDN w:val="0"/>
              <w:adjustRightInd w:val="0"/>
              <w:spacing w:before="60"/>
              <w:jc w:val="both"/>
              <w:rPr>
                <w:sz w:val="16"/>
              </w:rPr>
            </w:pPr>
            <w:r>
              <w:rPr>
                <w:sz w:val="16"/>
              </w:rPr>
              <w:t>UK</w:t>
            </w:r>
          </w:p>
        </w:tc>
        <w:tc>
          <w:tcPr>
            <w:tcW w:w="1417" w:type="dxa"/>
            <w:tcBorders>
              <w:top w:val="single" w:sz="4" w:space="0" w:color="auto"/>
              <w:left w:val="nil"/>
              <w:bottom w:val="single" w:sz="4" w:space="0" w:color="auto"/>
              <w:right w:val="nil"/>
            </w:tcBorders>
            <w:shd w:val="clear" w:color="auto" w:fill="auto"/>
            <w:vAlign w:val="center"/>
          </w:tcPr>
          <w:p w14:paraId="214080A3" w14:textId="77777777" w:rsidR="007F1021" w:rsidRPr="00332254" w:rsidRDefault="007F1021" w:rsidP="00F668C6">
            <w:pPr>
              <w:autoSpaceDE w:val="0"/>
              <w:autoSpaceDN w:val="0"/>
              <w:adjustRightInd w:val="0"/>
              <w:spacing w:before="60"/>
              <w:jc w:val="both"/>
              <w:rPr>
                <w:sz w:val="16"/>
              </w:rPr>
            </w:pPr>
            <w:r>
              <w:rPr>
                <w:sz w:val="16"/>
              </w:rPr>
              <w:t>2018-TBD</w:t>
            </w:r>
          </w:p>
        </w:tc>
        <w:tc>
          <w:tcPr>
            <w:tcW w:w="4252" w:type="dxa"/>
            <w:tcBorders>
              <w:top w:val="single" w:sz="4" w:space="0" w:color="auto"/>
              <w:left w:val="nil"/>
              <w:bottom w:val="single" w:sz="4" w:space="0" w:color="auto"/>
              <w:right w:val="nil"/>
            </w:tcBorders>
            <w:shd w:val="clear" w:color="auto" w:fill="auto"/>
            <w:vAlign w:val="center"/>
          </w:tcPr>
          <w:p w14:paraId="4293A8DC" w14:textId="77777777" w:rsidR="007F1021" w:rsidRPr="00332254" w:rsidRDefault="007F1021" w:rsidP="00F668C6">
            <w:pPr>
              <w:autoSpaceDE w:val="0"/>
              <w:autoSpaceDN w:val="0"/>
              <w:adjustRightInd w:val="0"/>
              <w:spacing w:before="60"/>
              <w:jc w:val="both"/>
              <w:rPr>
                <w:rFonts w:cs="Verdana"/>
                <w:sz w:val="16"/>
                <w:szCs w:val="16"/>
                <w:lang w:eastAsia="es-ES"/>
              </w:rPr>
            </w:pPr>
            <w:r>
              <w:rPr>
                <w:rFonts w:cs="Verdana"/>
                <w:sz w:val="16"/>
                <w:szCs w:val="16"/>
                <w:lang w:eastAsia="es-ES"/>
              </w:rPr>
              <w:t>The main goal is</w:t>
            </w:r>
            <w:r w:rsidRPr="00050019">
              <w:rPr>
                <w:rFonts w:cs="Verdana"/>
                <w:sz w:val="16"/>
                <w:szCs w:val="16"/>
                <w:lang w:eastAsia="es-ES"/>
              </w:rPr>
              <w:t xml:space="preserve"> to establish if it is technically possible, </w:t>
            </w:r>
            <w:proofErr w:type="gramStart"/>
            <w:r w:rsidRPr="00050019">
              <w:rPr>
                <w:rFonts w:cs="Verdana"/>
                <w:sz w:val="16"/>
                <w:szCs w:val="16"/>
                <w:lang w:eastAsia="es-ES"/>
              </w:rPr>
              <w:t>safe</w:t>
            </w:r>
            <w:proofErr w:type="gramEnd"/>
            <w:r w:rsidRPr="00050019">
              <w:rPr>
                <w:rFonts w:cs="Verdana"/>
                <w:sz w:val="16"/>
                <w:szCs w:val="16"/>
                <w:lang w:eastAsia="es-ES"/>
              </w:rPr>
              <w:t xml:space="preserve"> and convenient to replace natural gas with hydrogen in residential and commercial buildings and gas appliances.</w:t>
            </w:r>
          </w:p>
        </w:tc>
      </w:tr>
      <w:tr w:rsidR="007F1021" w:rsidRPr="007708FC" w14:paraId="05CF9B8C" w14:textId="77777777" w:rsidTr="00B26C13">
        <w:trPr>
          <w:trHeight w:val="283"/>
          <w:jc w:val="center"/>
        </w:trPr>
        <w:tc>
          <w:tcPr>
            <w:tcW w:w="1984" w:type="dxa"/>
            <w:tcBorders>
              <w:top w:val="single" w:sz="4" w:space="0" w:color="auto"/>
              <w:left w:val="nil"/>
              <w:bottom w:val="single" w:sz="4" w:space="0" w:color="auto"/>
              <w:right w:val="nil"/>
            </w:tcBorders>
            <w:shd w:val="clear" w:color="auto" w:fill="auto"/>
            <w:vAlign w:val="center"/>
          </w:tcPr>
          <w:p w14:paraId="666A7AED" w14:textId="77777777" w:rsidR="007F1021" w:rsidRPr="00532B58" w:rsidRDefault="007F1021" w:rsidP="00F668C6">
            <w:pPr>
              <w:autoSpaceDE w:val="0"/>
              <w:autoSpaceDN w:val="0"/>
              <w:adjustRightInd w:val="0"/>
              <w:spacing w:before="60"/>
              <w:jc w:val="both"/>
              <w:rPr>
                <w:b/>
                <w:bCs/>
                <w:sz w:val="16"/>
              </w:rPr>
            </w:pPr>
            <w:proofErr w:type="spellStart"/>
            <w:r w:rsidRPr="00532B58">
              <w:rPr>
                <w:b/>
                <w:bCs/>
                <w:sz w:val="16"/>
              </w:rPr>
              <w:t>HyDeploy</w:t>
            </w:r>
            <w:proofErr w:type="spellEnd"/>
          </w:p>
          <w:p w14:paraId="1DFACD29" w14:textId="77777777" w:rsidR="007F1021" w:rsidRPr="00B06580" w:rsidRDefault="007F1021" w:rsidP="00F668C6">
            <w:pPr>
              <w:autoSpaceDE w:val="0"/>
              <w:autoSpaceDN w:val="0"/>
              <w:adjustRightInd w:val="0"/>
              <w:spacing w:before="60"/>
              <w:jc w:val="both"/>
              <w:rPr>
                <w:b/>
                <w:bCs/>
                <w:sz w:val="16"/>
              </w:rPr>
            </w:pPr>
            <w:r>
              <w:rPr>
                <w:sz w:val="16"/>
              </w:rPr>
              <w:t>‘</w:t>
            </w:r>
            <w:r w:rsidRPr="00532B58">
              <w:rPr>
                <w:sz w:val="16"/>
              </w:rPr>
              <w:t>Hydrogen is vital to tackling climate change</w:t>
            </w:r>
            <w:r>
              <w:rPr>
                <w:sz w:val="16"/>
              </w:rPr>
              <w:t>.’</w:t>
            </w:r>
          </w:p>
        </w:tc>
        <w:tc>
          <w:tcPr>
            <w:tcW w:w="1417" w:type="dxa"/>
            <w:tcBorders>
              <w:top w:val="single" w:sz="4" w:space="0" w:color="auto"/>
              <w:left w:val="nil"/>
              <w:bottom w:val="single" w:sz="4" w:space="0" w:color="auto"/>
              <w:right w:val="nil"/>
            </w:tcBorders>
            <w:vAlign w:val="center"/>
          </w:tcPr>
          <w:p w14:paraId="399D696C" w14:textId="77777777" w:rsidR="007F1021" w:rsidRPr="00332254" w:rsidRDefault="007F1021" w:rsidP="00F668C6">
            <w:pPr>
              <w:autoSpaceDE w:val="0"/>
              <w:autoSpaceDN w:val="0"/>
              <w:adjustRightInd w:val="0"/>
              <w:spacing w:before="60"/>
              <w:jc w:val="both"/>
              <w:rPr>
                <w:sz w:val="16"/>
              </w:rPr>
            </w:pPr>
            <w:r>
              <w:rPr>
                <w:sz w:val="16"/>
              </w:rPr>
              <w:t>UK</w:t>
            </w:r>
          </w:p>
        </w:tc>
        <w:tc>
          <w:tcPr>
            <w:tcW w:w="1417" w:type="dxa"/>
            <w:tcBorders>
              <w:top w:val="single" w:sz="4" w:space="0" w:color="auto"/>
              <w:left w:val="nil"/>
              <w:bottom w:val="single" w:sz="4" w:space="0" w:color="auto"/>
              <w:right w:val="nil"/>
            </w:tcBorders>
            <w:shd w:val="clear" w:color="auto" w:fill="auto"/>
            <w:vAlign w:val="center"/>
          </w:tcPr>
          <w:p w14:paraId="66E231AB" w14:textId="77777777" w:rsidR="007F1021" w:rsidRPr="00332254" w:rsidRDefault="007F1021" w:rsidP="00F668C6">
            <w:pPr>
              <w:autoSpaceDE w:val="0"/>
              <w:autoSpaceDN w:val="0"/>
              <w:adjustRightInd w:val="0"/>
              <w:spacing w:before="60"/>
              <w:jc w:val="both"/>
              <w:rPr>
                <w:sz w:val="16"/>
              </w:rPr>
            </w:pPr>
            <w:r>
              <w:rPr>
                <w:sz w:val="16"/>
              </w:rPr>
              <w:t>2019-TBD</w:t>
            </w:r>
          </w:p>
        </w:tc>
        <w:tc>
          <w:tcPr>
            <w:tcW w:w="4252" w:type="dxa"/>
            <w:tcBorders>
              <w:top w:val="single" w:sz="4" w:space="0" w:color="auto"/>
              <w:left w:val="nil"/>
              <w:bottom w:val="single" w:sz="4" w:space="0" w:color="auto"/>
              <w:right w:val="nil"/>
            </w:tcBorders>
            <w:shd w:val="clear" w:color="auto" w:fill="auto"/>
            <w:vAlign w:val="center"/>
          </w:tcPr>
          <w:p w14:paraId="0E985A5F" w14:textId="652A6F9F" w:rsidR="007F1021" w:rsidRPr="00332254" w:rsidRDefault="007F1021" w:rsidP="00F668C6">
            <w:pPr>
              <w:autoSpaceDE w:val="0"/>
              <w:autoSpaceDN w:val="0"/>
              <w:adjustRightInd w:val="0"/>
              <w:spacing w:before="60"/>
              <w:jc w:val="both"/>
              <w:rPr>
                <w:rFonts w:cs="Verdana"/>
                <w:sz w:val="16"/>
                <w:szCs w:val="16"/>
                <w:lang w:eastAsia="es-ES"/>
              </w:rPr>
            </w:pPr>
            <w:r w:rsidRPr="00532B58">
              <w:rPr>
                <w:rFonts w:cs="Verdana"/>
                <w:sz w:val="16"/>
                <w:szCs w:val="16"/>
                <w:lang w:eastAsia="es-ES"/>
              </w:rPr>
              <w:t>As the first</w:t>
            </w:r>
            <w:r>
              <w:rPr>
                <w:rFonts w:cs="Verdana"/>
                <w:sz w:val="16"/>
                <w:szCs w:val="16"/>
                <w:lang w:eastAsia="es-ES"/>
              </w:rPr>
              <w:t>-</w:t>
            </w:r>
            <w:r w:rsidRPr="00532B58">
              <w:rPr>
                <w:rFonts w:cs="Verdana"/>
                <w:sz w:val="16"/>
                <w:szCs w:val="16"/>
                <w:lang w:eastAsia="es-ES"/>
              </w:rPr>
              <w:t xml:space="preserve">ever live demonstration of hydrogen in homes, </w:t>
            </w:r>
            <w:proofErr w:type="spellStart"/>
            <w:r w:rsidRPr="00532B58">
              <w:rPr>
                <w:rFonts w:cs="Verdana"/>
                <w:sz w:val="16"/>
                <w:szCs w:val="16"/>
                <w:lang w:eastAsia="es-ES"/>
              </w:rPr>
              <w:t>HyDeploy</w:t>
            </w:r>
            <w:proofErr w:type="spellEnd"/>
            <w:r w:rsidRPr="00532B58">
              <w:rPr>
                <w:rFonts w:cs="Verdana"/>
                <w:sz w:val="16"/>
                <w:szCs w:val="16"/>
                <w:lang w:eastAsia="es-ES"/>
              </w:rPr>
              <w:t xml:space="preserve"> aims to prove that blending up to 20</w:t>
            </w:r>
            <w:r>
              <w:rPr>
                <w:rFonts w:cs="Verdana"/>
                <w:sz w:val="16"/>
                <w:szCs w:val="16"/>
                <w:lang w:eastAsia="es-ES"/>
              </w:rPr>
              <w:t xml:space="preserve"> vol</w:t>
            </w:r>
            <w:r w:rsidR="00350661">
              <w:rPr>
                <w:rFonts w:cs="Verdana"/>
                <w:sz w:val="16"/>
                <w:szCs w:val="16"/>
                <w:lang w:eastAsia="es-ES"/>
              </w:rPr>
              <w:t xml:space="preserve"> </w:t>
            </w:r>
            <w:r w:rsidRPr="00532B58">
              <w:rPr>
                <w:rFonts w:cs="Verdana"/>
                <w:sz w:val="16"/>
                <w:szCs w:val="16"/>
                <w:lang w:eastAsia="es-ES"/>
              </w:rPr>
              <w:t>%</w:t>
            </w:r>
            <w:r>
              <w:rPr>
                <w:rFonts w:cs="Verdana"/>
                <w:sz w:val="16"/>
                <w:szCs w:val="16"/>
                <w:lang w:eastAsia="es-ES"/>
              </w:rPr>
              <w:t xml:space="preserve"> </w:t>
            </w:r>
            <w:r w:rsidRPr="00532B58">
              <w:rPr>
                <w:rFonts w:cs="Verdana"/>
                <w:sz w:val="16"/>
                <w:szCs w:val="16"/>
                <w:lang w:eastAsia="es-ES"/>
              </w:rPr>
              <w:t xml:space="preserve">of hydrogen with natural gas is a safe and greener alternative to the gas we use now. It </w:t>
            </w:r>
            <w:r>
              <w:rPr>
                <w:rFonts w:cs="Verdana"/>
                <w:sz w:val="16"/>
                <w:szCs w:val="16"/>
                <w:lang w:eastAsia="es-ES"/>
              </w:rPr>
              <w:t>provides</w:t>
            </w:r>
            <w:r w:rsidRPr="00532B58">
              <w:rPr>
                <w:rFonts w:cs="Verdana"/>
                <w:sz w:val="16"/>
                <w:szCs w:val="16"/>
                <w:lang w:eastAsia="es-ES"/>
              </w:rPr>
              <w:t xml:space="preserve"> evidence </w:t>
            </w:r>
            <w:r>
              <w:rPr>
                <w:rFonts w:cs="Verdana"/>
                <w:sz w:val="16"/>
                <w:szCs w:val="16"/>
                <w:lang w:eastAsia="es-ES"/>
              </w:rPr>
              <w:t>that</w:t>
            </w:r>
            <w:r w:rsidRPr="00532B58">
              <w:rPr>
                <w:rFonts w:cs="Verdana"/>
                <w:sz w:val="16"/>
                <w:szCs w:val="16"/>
                <w:lang w:eastAsia="es-ES"/>
              </w:rPr>
              <w:t xml:space="preserve"> customers don’t have to change their cooking or heating appliances to take the blend, which means less disruption and cost.  It </w:t>
            </w:r>
            <w:r>
              <w:rPr>
                <w:rFonts w:cs="Verdana"/>
                <w:sz w:val="16"/>
                <w:szCs w:val="16"/>
                <w:lang w:eastAsia="es-ES"/>
              </w:rPr>
              <w:t>also confirms</w:t>
            </w:r>
            <w:r w:rsidRPr="00532B58">
              <w:rPr>
                <w:rFonts w:cs="Verdana"/>
                <w:sz w:val="16"/>
                <w:szCs w:val="16"/>
                <w:lang w:eastAsia="es-ES"/>
              </w:rPr>
              <w:t xml:space="preserve"> initial findings that customers don’t notice any difference when using the hydrogen blend.</w:t>
            </w:r>
          </w:p>
        </w:tc>
      </w:tr>
      <w:tr w:rsidR="007F1021" w:rsidRPr="007708FC" w14:paraId="28107D12" w14:textId="77777777" w:rsidTr="00B26C13">
        <w:trPr>
          <w:trHeight w:val="283"/>
          <w:jc w:val="center"/>
        </w:trPr>
        <w:tc>
          <w:tcPr>
            <w:tcW w:w="1984" w:type="dxa"/>
            <w:tcBorders>
              <w:top w:val="single" w:sz="4" w:space="0" w:color="auto"/>
              <w:left w:val="nil"/>
              <w:bottom w:val="single" w:sz="4" w:space="0" w:color="auto"/>
              <w:right w:val="nil"/>
            </w:tcBorders>
            <w:shd w:val="clear" w:color="auto" w:fill="auto"/>
            <w:vAlign w:val="center"/>
          </w:tcPr>
          <w:p w14:paraId="088F03B5" w14:textId="77777777" w:rsidR="007F1021" w:rsidRPr="00524AF9" w:rsidRDefault="007F1021" w:rsidP="00F668C6">
            <w:pPr>
              <w:autoSpaceDE w:val="0"/>
              <w:autoSpaceDN w:val="0"/>
              <w:adjustRightInd w:val="0"/>
              <w:spacing w:before="60"/>
              <w:jc w:val="both"/>
              <w:rPr>
                <w:b/>
                <w:bCs/>
                <w:sz w:val="16"/>
              </w:rPr>
            </w:pPr>
            <w:proofErr w:type="spellStart"/>
            <w:r w:rsidRPr="00524AF9">
              <w:rPr>
                <w:b/>
                <w:bCs/>
                <w:sz w:val="16"/>
              </w:rPr>
              <w:t>HyNTS</w:t>
            </w:r>
            <w:proofErr w:type="spellEnd"/>
          </w:p>
          <w:p w14:paraId="718DF2EB" w14:textId="77777777" w:rsidR="007F1021" w:rsidRPr="00B06580" w:rsidRDefault="007F1021" w:rsidP="00F668C6">
            <w:pPr>
              <w:autoSpaceDE w:val="0"/>
              <w:autoSpaceDN w:val="0"/>
              <w:adjustRightInd w:val="0"/>
              <w:spacing w:before="60"/>
              <w:jc w:val="both"/>
              <w:rPr>
                <w:b/>
                <w:bCs/>
                <w:sz w:val="16"/>
              </w:rPr>
            </w:pPr>
            <w:r>
              <w:rPr>
                <w:sz w:val="16"/>
              </w:rPr>
              <w:t>‘</w:t>
            </w:r>
            <w:r w:rsidRPr="00524AF9">
              <w:rPr>
                <w:sz w:val="16"/>
              </w:rPr>
              <w:t>Hydrogen in the NTS</w:t>
            </w:r>
            <w:r>
              <w:rPr>
                <w:sz w:val="16"/>
              </w:rPr>
              <w:t>’</w:t>
            </w:r>
          </w:p>
        </w:tc>
        <w:tc>
          <w:tcPr>
            <w:tcW w:w="1417" w:type="dxa"/>
            <w:tcBorders>
              <w:top w:val="single" w:sz="4" w:space="0" w:color="auto"/>
              <w:left w:val="nil"/>
              <w:bottom w:val="single" w:sz="4" w:space="0" w:color="auto"/>
              <w:right w:val="nil"/>
            </w:tcBorders>
            <w:vAlign w:val="center"/>
          </w:tcPr>
          <w:p w14:paraId="6DAD1C1A" w14:textId="77777777" w:rsidR="007F1021" w:rsidRPr="00332254" w:rsidRDefault="007F1021" w:rsidP="00F668C6">
            <w:pPr>
              <w:autoSpaceDE w:val="0"/>
              <w:autoSpaceDN w:val="0"/>
              <w:adjustRightInd w:val="0"/>
              <w:spacing w:before="60"/>
              <w:jc w:val="both"/>
              <w:rPr>
                <w:sz w:val="16"/>
              </w:rPr>
            </w:pPr>
            <w:r>
              <w:rPr>
                <w:sz w:val="16"/>
              </w:rPr>
              <w:t>UK</w:t>
            </w:r>
          </w:p>
        </w:tc>
        <w:tc>
          <w:tcPr>
            <w:tcW w:w="1417" w:type="dxa"/>
            <w:tcBorders>
              <w:top w:val="single" w:sz="4" w:space="0" w:color="auto"/>
              <w:left w:val="nil"/>
              <w:bottom w:val="single" w:sz="4" w:space="0" w:color="auto"/>
              <w:right w:val="nil"/>
            </w:tcBorders>
            <w:shd w:val="clear" w:color="auto" w:fill="auto"/>
            <w:vAlign w:val="center"/>
          </w:tcPr>
          <w:p w14:paraId="251BFFAB" w14:textId="77777777" w:rsidR="007F1021" w:rsidRPr="00332254" w:rsidRDefault="007F1021" w:rsidP="00F668C6">
            <w:pPr>
              <w:autoSpaceDE w:val="0"/>
              <w:autoSpaceDN w:val="0"/>
              <w:adjustRightInd w:val="0"/>
              <w:spacing w:before="60"/>
              <w:jc w:val="both"/>
              <w:rPr>
                <w:sz w:val="16"/>
              </w:rPr>
            </w:pPr>
            <w:r>
              <w:rPr>
                <w:sz w:val="16"/>
              </w:rPr>
              <w:t>2019-TBD</w:t>
            </w:r>
          </w:p>
        </w:tc>
        <w:tc>
          <w:tcPr>
            <w:tcW w:w="4252" w:type="dxa"/>
            <w:tcBorders>
              <w:top w:val="single" w:sz="4" w:space="0" w:color="auto"/>
              <w:left w:val="nil"/>
              <w:bottom w:val="single" w:sz="4" w:space="0" w:color="auto"/>
              <w:right w:val="nil"/>
            </w:tcBorders>
            <w:shd w:val="clear" w:color="auto" w:fill="auto"/>
            <w:vAlign w:val="center"/>
          </w:tcPr>
          <w:p w14:paraId="3E2BFE17" w14:textId="77777777" w:rsidR="007F1021" w:rsidRDefault="007F1021" w:rsidP="00F668C6">
            <w:pPr>
              <w:autoSpaceDE w:val="0"/>
              <w:autoSpaceDN w:val="0"/>
              <w:adjustRightInd w:val="0"/>
              <w:spacing w:before="60"/>
              <w:jc w:val="both"/>
              <w:rPr>
                <w:rFonts w:cs="Verdana"/>
                <w:sz w:val="16"/>
                <w:szCs w:val="16"/>
                <w:lang w:eastAsia="es-ES"/>
              </w:rPr>
            </w:pPr>
            <w:r>
              <w:rPr>
                <w:rFonts w:cs="Verdana"/>
                <w:sz w:val="16"/>
                <w:szCs w:val="16"/>
                <w:lang w:eastAsia="es-ES"/>
              </w:rPr>
              <w:t>The work programme</w:t>
            </w:r>
            <w:r w:rsidRPr="00524AF9">
              <w:rPr>
                <w:rFonts w:cs="Verdana"/>
                <w:sz w:val="16"/>
                <w:szCs w:val="16"/>
                <w:lang w:eastAsia="es-ES"/>
              </w:rPr>
              <w:t xml:space="preserve"> seeks to identify the opportunities and address the challenges that transporting hydrogen within the National</w:t>
            </w:r>
            <w:r>
              <w:rPr>
                <w:rFonts w:cs="Verdana"/>
                <w:sz w:val="16"/>
                <w:szCs w:val="16"/>
                <w:lang w:eastAsia="es-ES"/>
              </w:rPr>
              <w:t xml:space="preserve"> </w:t>
            </w:r>
            <w:r w:rsidRPr="00524AF9">
              <w:rPr>
                <w:rFonts w:cs="Verdana"/>
                <w:sz w:val="16"/>
                <w:szCs w:val="16"/>
                <w:lang w:eastAsia="es-ES"/>
              </w:rPr>
              <w:t>Transmission System (NTS) presents</w:t>
            </w:r>
            <w:r>
              <w:rPr>
                <w:rFonts w:cs="Verdana"/>
                <w:sz w:val="16"/>
                <w:szCs w:val="16"/>
                <w:lang w:eastAsia="es-ES"/>
              </w:rPr>
              <w:t>, which</w:t>
            </w:r>
            <w:r w:rsidRPr="00524AF9">
              <w:rPr>
                <w:rFonts w:cs="Verdana"/>
                <w:sz w:val="16"/>
                <w:szCs w:val="16"/>
                <w:lang w:eastAsia="es-ES"/>
              </w:rPr>
              <w:t xml:space="preserve"> will unlock the potential of Hydrogen to deliver the UK’s 2050 Net Zero targets</w:t>
            </w:r>
            <w:r>
              <w:rPr>
                <w:rFonts w:cs="Verdana"/>
                <w:sz w:val="16"/>
                <w:szCs w:val="16"/>
                <w:lang w:eastAsia="es-ES"/>
              </w:rPr>
              <w:t>.</w:t>
            </w:r>
          </w:p>
          <w:p w14:paraId="38BF9052" w14:textId="77777777" w:rsidR="007F1021" w:rsidRPr="00332254" w:rsidRDefault="007F1021" w:rsidP="00F668C6">
            <w:pPr>
              <w:autoSpaceDE w:val="0"/>
              <w:autoSpaceDN w:val="0"/>
              <w:adjustRightInd w:val="0"/>
              <w:spacing w:before="60"/>
              <w:jc w:val="both"/>
              <w:rPr>
                <w:rFonts w:cs="Verdana"/>
                <w:sz w:val="16"/>
                <w:szCs w:val="16"/>
                <w:lang w:eastAsia="es-ES"/>
              </w:rPr>
            </w:pPr>
            <w:r>
              <w:rPr>
                <w:rFonts w:cs="Verdana"/>
                <w:sz w:val="16"/>
                <w:szCs w:val="16"/>
                <w:lang w:eastAsia="es-ES"/>
              </w:rPr>
              <w:t xml:space="preserve">In the framework of this Programme, </w:t>
            </w:r>
            <w:proofErr w:type="spellStart"/>
            <w:r w:rsidRPr="002A0244">
              <w:rPr>
                <w:rFonts w:cs="Verdana"/>
                <w:b/>
                <w:bCs/>
                <w:sz w:val="16"/>
                <w:szCs w:val="16"/>
                <w:lang w:eastAsia="es-ES"/>
              </w:rPr>
              <w:t>FutureGrid</w:t>
            </w:r>
            <w:proofErr w:type="spellEnd"/>
            <w:r w:rsidRPr="002A0244">
              <w:rPr>
                <w:rFonts w:cs="Verdana"/>
                <w:sz w:val="16"/>
                <w:szCs w:val="16"/>
                <w:lang w:eastAsia="es-ES"/>
              </w:rPr>
              <w:t xml:space="preserve"> </w:t>
            </w:r>
            <w:r>
              <w:rPr>
                <w:rFonts w:cs="Verdana"/>
                <w:sz w:val="16"/>
                <w:szCs w:val="16"/>
                <w:lang w:eastAsia="es-ES"/>
              </w:rPr>
              <w:t xml:space="preserve">project (2021-2023) </w:t>
            </w:r>
            <w:r w:rsidRPr="002A0244">
              <w:rPr>
                <w:rFonts w:cs="Verdana"/>
                <w:sz w:val="16"/>
                <w:szCs w:val="16"/>
                <w:lang w:eastAsia="es-ES"/>
              </w:rPr>
              <w:t>aims to demonstrate that the Gas National Transmission</w:t>
            </w:r>
            <w:r>
              <w:rPr>
                <w:rFonts w:cs="Verdana"/>
                <w:sz w:val="16"/>
                <w:szCs w:val="16"/>
                <w:lang w:eastAsia="es-ES"/>
              </w:rPr>
              <w:t xml:space="preserve"> </w:t>
            </w:r>
            <w:r w:rsidRPr="002A0244">
              <w:rPr>
                <w:rFonts w:cs="Verdana"/>
                <w:sz w:val="16"/>
                <w:szCs w:val="16"/>
                <w:lang w:eastAsia="es-ES"/>
              </w:rPr>
              <w:t>System (NTS) can be repurposed to transport hydrogen. The initial</w:t>
            </w:r>
            <w:r>
              <w:rPr>
                <w:rFonts w:cs="Verdana"/>
                <w:sz w:val="16"/>
                <w:szCs w:val="16"/>
                <w:lang w:eastAsia="es-ES"/>
              </w:rPr>
              <w:t xml:space="preserve"> </w:t>
            </w:r>
            <w:r w:rsidRPr="002A0244">
              <w:rPr>
                <w:rFonts w:cs="Verdana"/>
                <w:sz w:val="16"/>
                <w:szCs w:val="16"/>
                <w:lang w:eastAsia="es-ES"/>
              </w:rPr>
              <w:t>phase involves building an offline hydrogen test facility to assess the</w:t>
            </w:r>
            <w:r>
              <w:rPr>
                <w:rFonts w:cs="Verdana"/>
                <w:sz w:val="16"/>
                <w:szCs w:val="16"/>
                <w:lang w:eastAsia="es-ES"/>
              </w:rPr>
              <w:t xml:space="preserve"> </w:t>
            </w:r>
            <w:r w:rsidRPr="002A0244">
              <w:rPr>
                <w:rFonts w:cs="Verdana"/>
                <w:sz w:val="16"/>
                <w:szCs w:val="16"/>
                <w:lang w:eastAsia="es-ES"/>
              </w:rPr>
              <w:t xml:space="preserve">impact </w:t>
            </w:r>
            <w:r>
              <w:rPr>
                <w:rFonts w:cs="Verdana"/>
                <w:sz w:val="16"/>
                <w:szCs w:val="16"/>
                <w:lang w:eastAsia="es-ES"/>
              </w:rPr>
              <w:t>of blends of hydrogen</w:t>
            </w:r>
            <w:r w:rsidRPr="002A0244">
              <w:rPr>
                <w:rFonts w:cs="Verdana"/>
                <w:sz w:val="16"/>
                <w:szCs w:val="16"/>
                <w:lang w:eastAsia="es-ES"/>
              </w:rPr>
              <w:t xml:space="preserve"> on NTS assets.</w:t>
            </w:r>
          </w:p>
        </w:tc>
      </w:tr>
      <w:tr w:rsidR="007F1021" w:rsidRPr="007708FC" w14:paraId="24442B58" w14:textId="77777777" w:rsidTr="00B26C13">
        <w:trPr>
          <w:trHeight w:val="283"/>
          <w:jc w:val="center"/>
        </w:trPr>
        <w:tc>
          <w:tcPr>
            <w:tcW w:w="1984" w:type="dxa"/>
            <w:tcBorders>
              <w:top w:val="single" w:sz="4" w:space="0" w:color="auto"/>
              <w:left w:val="nil"/>
              <w:bottom w:val="single" w:sz="12" w:space="0" w:color="auto"/>
              <w:right w:val="nil"/>
            </w:tcBorders>
            <w:shd w:val="clear" w:color="auto" w:fill="auto"/>
            <w:vAlign w:val="center"/>
          </w:tcPr>
          <w:p w14:paraId="1B9AE8DE" w14:textId="77777777" w:rsidR="007F1021" w:rsidRPr="00332254" w:rsidRDefault="007F1021" w:rsidP="00F668C6">
            <w:pPr>
              <w:autoSpaceDE w:val="0"/>
              <w:autoSpaceDN w:val="0"/>
              <w:adjustRightInd w:val="0"/>
              <w:spacing w:before="60" w:after="60"/>
              <w:jc w:val="both"/>
              <w:rPr>
                <w:sz w:val="16"/>
              </w:rPr>
            </w:pPr>
            <w:r w:rsidRPr="00B06580">
              <w:rPr>
                <w:b/>
                <w:bCs/>
                <w:sz w:val="16"/>
              </w:rPr>
              <w:t>RGC Hydrogen Project</w:t>
            </w:r>
          </w:p>
        </w:tc>
        <w:tc>
          <w:tcPr>
            <w:tcW w:w="1417" w:type="dxa"/>
            <w:tcBorders>
              <w:top w:val="single" w:sz="4" w:space="0" w:color="auto"/>
              <w:left w:val="nil"/>
              <w:bottom w:val="single" w:sz="12" w:space="0" w:color="auto"/>
              <w:right w:val="nil"/>
            </w:tcBorders>
            <w:vAlign w:val="center"/>
          </w:tcPr>
          <w:p w14:paraId="20E45182" w14:textId="77777777" w:rsidR="007F1021" w:rsidRPr="00332254" w:rsidRDefault="007F1021" w:rsidP="00F668C6">
            <w:pPr>
              <w:autoSpaceDE w:val="0"/>
              <w:autoSpaceDN w:val="0"/>
              <w:adjustRightInd w:val="0"/>
              <w:spacing w:before="60" w:after="60"/>
              <w:jc w:val="both"/>
              <w:rPr>
                <w:sz w:val="16"/>
              </w:rPr>
            </w:pPr>
            <w:r w:rsidRPr="00B06580">
              <w:rPr>
                <w:sz w:val="16"/>
              </w:rPr>
              <w:t>Ukraine</w:t>
            </w:r>
          </w:p>
        </w:tc>
        <w:tc>
          <w:tcPr>
            <w:tcW w:w="1417" w:type="dxa"/>
            <w:tcBorders>
              <w:top w:val="single" w:sz="4" w:space="0" w:color="auto"/>
              <w:left w:val="nil"/>
              <w:bottom w:val="single" w:sz="12" w:space="0" w:color="auto"/>
              <w:right w:val="nil"/>
            </w:tcBorders>
            <w:shd w:val="clear" w:color="auto" w:fill="auto"/>
            <w:vAlign w:val="center"/>
          </w:tcPr>
          <w:p w14:paraId="7217BF4A" w14:textId="77777777" w:rsidR="007F1021" w:rsidRPr="00332254" w:rsidRDefault="007F1021" w:rsidP="00F668C6">
            <w:pPr>
              <w:autoSpaceDE w:val="0"/>
              <w:autoSpaceDN w:val="0"/>
              <w:adjustRightInd w:val="0"/>
              <w:spacing w:before="60" w:after="60"/>
              <w:jc w:val="both"/>
              <w:rPr>
                <w:sz w:val="16"/>
              </w:rPr>
            </w:pPr>
            <w:r>
              <w:rPr>
                <w:sz w:val="16"/>
              </w:rPr>
              <w:t>2020-2025</w:t>
            </w:r>
          </w:p>
        </w:tc>
        <w:tc>
          <w:tcPr>
            <w:tcW w:w="4252" w:type="dxa"/>
            <w:tcBorders>
              <w:top w:val="single" w:sz="4" w:space="0" w:color="auto"/>
              <w:left w:val="nil"/>
              <w:bottom w:val="single" w:sz="12" w:space="0" w:color="auto"/>
              <w:right w:val="nil"/>
            </w:tcBorders>
            <w:shd w:val="clear" w:color="auto" w:fill="auto"/>
            <w:vAlign w:val="center"/>
          </w:tcPr>
          <w:p w14:paraId="14127CA3" w14:textId="77777777" w:rsidR="007F1021" w:rsidRPr="00332254" w:rsidRDefault="007F1021" w:rsidP="00F668C6">
            <w:pPr>
              <w:autoSpaceDE w:val="0"/>
              <w:autoSpaceDN w:val="0"/>
              <w:adjustRightInd w:val="0"/>
              <w:spacing w:before="60" w:after="60"/>
              <w:jc w:val="both"/>
              <w:rPr>
                <w:rFonts w:cs="Verdana"/>
                <w:sz w:val="16"/>
                <w:szCs w:val="16"/>
                <w:lang w:eastAsia="es-ES"/>
              </w:rPr>
            </w:pPr>
            <w:r w:rsidRPr="00B06580">
              <w:rPr>
                <w:rFonts w:cs="Verdana"/>
                <w:sz w:val="16"/>
                <w:szCs w:val="16"/>
                <w:lang w:eastAsia="es-ES"/>
              </w:rPr>
              <w:t xml:space="preserve">Testing and assessing the impact of clean hydrogen and its different mixtures with natural gas on the various parts of the </w:t>
            </w:r>
            <w:r>
              <w:rPr>
                <w:rFonts w:cs="Verdana"/>
                <w:sz w:val="16"/>
                <w:szCs w:val="16"/>
                <w:lang w:eastAsia="es-ES"/>
              </w:rPr>
              <w:t>existing</w:t>
            </w:r>
            <w:r w:rsidRPr="00B06580">
              <w:rPr>
                <w:rFonts w:cs="Verdana"/>
                <w:sz w:val="16"/>
                <w:szCs w:val="16"/>
                <w:lang w:eastAsia="es-ES"/>
              </w:rPr>
              <w:t xml:space="preserve"> distribution network (pipelines, valves,</w:t>
            </w:r>
            <w:r>
              <w:rPr>
                <w:rFonts w:cs="Verdana"/>
                <w:sz w:val="16"/>
                <w:szCs w:val="16"/>
                <w:lang w:eastAsia="es-ES"/>
              </w:rPr>
              <w:t xml:space="preserve"> </w:t>
            </w:r>
            <w:r w:rsidRPr="00B06580">
              <w:rPr>
                <w:rFonts w:cs="Verdana"/>
                <w:sz w:val="16"/>
                <w:szCs w:val="16"/>
                <w:lang w:eastAsia="es-ES"/>
              </w:rPr>
              <w:t>meters, other equipment) and gas appliances, identifying necessary changes in the legal and regulatory framework in terms of distribution network operation and maintenance</w:t>
            </w:r>
            <w:r>
              <w:rPr>
                <w:rFonts w:cs="Verdana"/>
                <w:sz w:val="16"/>
                <w:szCs w:val="16"/>
                <w:lang w:eastAsia="es-ES"/>
              </w:rPr>
              <w:t>.</w:t>
            </w:r>
          </w:p>
        </w:tc>
      </w:tr>
    </w:tbl>
    <w:p w14:paraId="228F6C11" w14:textId="77777777" w:rsidR="00A16A51" w:rsidRDefault="00A16A51" w:rsidP="00F668C6">
      <w:pPr>
        <w:spacing w:line="276" w:lineRule="auto"/>
        <w:jc w:val="both"/>
      </w:pPr>
    </w:p>
    <w:p w14:paraId="3313C767" w14:textId="600D9100" w:rsidR="007F1021" w:rsidRDefault="007F1021" w:rsidP="00F668C6">
      <w:pPr>
        <w:spacing w:line="276" w:lineRule="auto"/>
        <w:jc w:val="both"/>
      </w:pPr>
      <w:r>
        <w:t>A concentration of up to 20 vol</w:t>
      </w:r>
      <w:r w:rsidR="004137F4">
        <w:t xml:space="preserve"> </w:t>
      </w:r>
      <w:r>
        <w:t xml:space="preserve">% of hydrogen into the natural gas has been </w:t>
      </w:r>
      <w:r w:rsidRPr="00A77007">
        <w:t>tested in the</w:t>
      </w:r>
      <w:r w:rsidR="004137F4">
        <w:t>se</w:t>
      </w:r>
      <w:r w:rsidRPr="00A77007">
        <w:t xml:space="preserve"> projects. </w:t>
      </w:r>
      <w:r>
        <w:t>In general, no visible or measurable degradation of the pipes has been found after exposure to the hydrogen mixture. T</w:t>
      </w:r>
      <w:r w:rsidRPr="00A77007">
        <w:t xml:space="preserve">he tested components from the gas system </w:t>
      </w:r>
      <w:r>
        <w:t>can handle</w:t>
      </w:r>
      <w:r w:rsidRPr="00A77007">
        <w:t xml:space="preserve"> hydrogen without </w:t>
      </w:r>
      <w:r>
        <w:t>significant</w:t>
      </w:r>
      <w:r w:rsidRPr="00A77007">
        <w:t xml:space="preserve"> modifications.</w:t>
      </w:r>
    </w:p>
    <w:p w14:paraId="18D58F2A" w14:textId="77777777" w:rsidR="007F1021" w:rsidRDefault="007F1021" w:rsidP="00F668C6">
      <w:pPr>
        <w:spacing w:line="276" w:lineRule="auto"/>
        <w:ind w:left="1134"/>
        <w:jc w:val="both"/>
      </w:pPr>
    </w:p>
    <w:p w14:paraId="62D905FC" w14:textId="518819A6" w:rsidR="00DF47A0" w:rsidRDefault="004C7736" w:rsidP="004C7736">
      <w:pPr>
        <w:pStyle w:val="Heading3"/>
      </w:pPr>
      <w:bookmarkStart w:id="39" w:name="_Toc121830941"/>
      <w:r>
        <w:t xml:space="preserve">3.3.1 </w:t>
      </w:r>
      <w:r w:rsidR="007F1021" w:rsidRPr="007F1021">
        <w:t>NEWGASMET PROJECT</w:t>
      </w:r>
      <w:bookmarkEnd w:id="39"/>
    </w:p>
    <w:p w14:paraId="69D92574" w14:textId="77777777" w:rsidR="007F1021" w:rsidRDefault="007F1021" w:rsidP="00F668C6">
      <w:pPr>
        <w:spacing w:line="276" w:lineRule="auto"/>
        <w:jc w:val="both"/>
      </w:pPr>
      <w:r w:rsidRPr="00666A8A">
        <w:t xml:space="preserve">As indicated in </w:t>
      </w:r>
      <w:r w:rsidRPr="00666A8A">
        <w:fldChar w:fldCharType="begin"/>
      </w:r>
      <w:r w:rsidRPr="00666A8A">
        <w:instrText xml:space="preserve"> REF _Ref96612347 \h  \* MERGEFORMAT </w:instrText>
      </w:r>
      <w:r w:rsidRPr="00666A8A">
        <w:fldChar w:fldCharType="separate"/>
      </w:r>
      <w:r w:rsidRPr="00186892">
        <w:rPr>
          <w:b/>
          <w:color w:val="007AAE"/>
        </w:rPr>
        <w:t xml:space="preserve">Table </w:t>
      </w:r>
      <w:r w:rsidRPr="00186892">
        <w:rPr>
          <w:b/>
          <w:noProof/>
          <w:color w:val="007AAE"/>
        </w:rPr>
        <w:t>3</w:t>
      </w:r>
      <w:r w:rsidRPr="00666A8A">
        <w:fldChar w:fldCharType="end"/>
      </w:r>
      <w:r>
        <w:t>, t</w:t>
      </w:r>
      <w:r w:rsidRPr="00666A8A">
        <w:t xml:space="preserve">he overall objective of </w:t>
      </w:r>
      <w:r>
        <w:t xml:space="preserve">the </w:t>
      </w:r>
      <w:r w:rsidRPr="00666A8A">
        <w:t>NewGasMet</w:t>
      </w:r>
      <w:r>
        <w:t xml:space="preserve"> Project </w:t>
      </w:r>
      <w:r w:rsidRPr="00666A8A">
        <w:t>‘Flow metering of renewable gases’</w:t>
      </w:r>
      <w:r>
        <w:t xml:space="preserve"> </w:t>
      </w:r>
      <w:r w:rsidRPr="00666A8A">
        <w:t>is to increase knowledge about the accuracy and durability of commercially available gas meters after exposure to renewable gases</w:t>
      </w:r>
      <w:r>
        <w:t xml:space="preserve"> (biogas, </w:t>
      </w:r>
      <w:r w:rsidRPr="00E24361">
        <w:t xml:space="preserve">hydrogen-enriched natural gas </w:t>
      </w:r>
      <w:r>
        <w:t>and</w:t>
      </w:r>
      <w:r w:rsidRPr="00E24361">
        <w:t xml:space="preserve"> pure hydrogen</w:t>
      </w:r>
      <w:r>
        <w:t>)</w:t>
      </w:r>
      <w:r w:rsidRPr="00666A8A">
        <w:t xml:space="preserve">. </w:t>
      </w:r>
      <w:r>
        <w:t>The project reviews calibration methods</w:t>
      </w:r>
      <w:r w:rsidRPr="00E24361">
        <w:t xml:space="preserve"> </w:t>
      </w:r>
      <w:r w:rsidRPr="00C11CFB">
        <w:t>for domestic and commercial gas meters</w:t>
      </w:r>
      <w:r>
        <w:t xml:space="preserve"> and contributes </w:t>
      </w:r>
      <w:r w:rsidRPr="00C11CFB">
        <w:t>to the standards revision work in technical committees CEN/TC 237 and OIML TC8/SC7</w:t>
      </w:r>
      <w:r>
        <w:t>.</w:t>
      </w:r>
    </w:p>
    <w:p w14:paraId="79F55CE3" w14:textId="77777777" w:rsidR="007F1021" w:rsidRDefault="007F1021" w:rsidP="00F668C6">
      <w:pPr>
        <w:spacing w:line="276" w:lineRule="auto"/>
        <w:jc w:val="both"/>
      </w:pPr>
      <w:r>
        <w:t xml:space="preserve">The project started in June 2019 and will finish in September 2022, so no </w:t>
      </w:r>
      <w:proofErr w:type="gramStart"/>
      <w:r>
        <w:t>final results</w:t>
      </w:r>
      <w:proofErr w:type="gramEnd"/>
      <w:r>
        <w:t xml:space="preserve"> are available at the date of preparation of this report</w:t>
      </w:r>
      <w:r w:rsidRPr="00666A8A">
        <w:t>.</w:t>
      </w:r>
      <w:r>
        <w:t xml:space="preserve"> </w:t>
      </w:r>
      <w:r w:rsidRPr="009E260C">
        <w:fldChar w:fldCharType="begin"/>
      </w:r>
      <w:r w:rsidRPr="009E260C">
        <w:instrText xml:space="preserve"> REF _Ref97543983 \h </w:instrText>
      </w:r>
      <w:r>
        <w:instrText xml:space="preserve"> \* MERGEFORMAT </w:instrText>
      </w:r>
      <w:r w:rsidRPr="009E260C">
        <w:fldChar w:fldCharType="separate"/>
      </w:r>
      <w:r w:rsidRPr="009E260C">
        <w:rPr>
          <w:b/>
          <w:color w:val="007AAE"/>
        </w:rPr>
        <w:t xml:space="preserve">Table </w:t>
      </w:r>
      <w:r w:rsidRPr="009E260C">
        <w:rPr>
          <w:b/>
          <w:noProof/>
          <w:color w:val="007AAE"/>
        </w:rPr>
        <w:t>4</w:t>
      </w:r>
      <w:r w:rsidRPr="009E260C">
        <w:fldChar w:fldCharType="end"/>
      </w:r>
      <w:r>
        <w:t xml:space="preserve"> indicates the p</w:t>
      </w:r>
      <w:r w:rsidRPr="009E260C">
        <w:t>erformance and durability tests developed in NewGasMet project</w:t>
      </w:r>
      <w:r>
        <w:t>.</w:t>
      </w:r>
    </w:p>
    <w:p w14:paraId="54F95924" w14:textId="77777777" w:rsidR="007F1021" w:rsidRDefault="007F1021" w:rsidP="00F668C6">
      <w:pPr>
        <w:spacing w:line="276" w:lineRule="auto"/>
        <w:ind w:left="1134"/>
        <w:jc w:val="both"/>
      </w:pPr>
    </w:p>
    <w:p w14:paraId="38FD807D" w14:textId="77777777" w:rsidR="001110B7" w:rsidRDefault="001110B7" w:rsidP="00F668C6">
      <w:pPr>
        <w:jc w:val="both"/>
        <w:rPr>
          <w:b/>
          <w:bCs/>
        </w:rPr>
        <w:sectPr w:rsidR="001110B7" w:rsidSect="00F40930">
          <w:footerReference w:type="default" r:id="rId28"/>
          <w:pgSz w:w="11906" w:h="16838"/>
          <w:pgMar w:top="1440" w:right="1440" w:bottom="1134" w:left="1440" w:header="708" w:footer="708" w:gutter="0"/>
          <w:cols w:space="708"/>
          <w:titlePg/>
          <w:docGrid w:linePitch="360"/>
        </w:sectPr>
      </w:pPr>
    </w:p>
    <w:p w14:paraId="00D50764" w14:textId="77777777" w:rsidR="001110B7" w:rsidRPr="00E93E17" w:rsidRDefault="001110B7" w:rsidP="00F668C6">
      <w:pPr>
        <w:spacing w:after="120" w:line="276" w:lineRule="auto"/>
        <w:ind w:left="2552" w:right="1134" w:hanging="1418"/>
        <w:jc w:val="both"/>
        <w:rPr>
          <w:bCs/>
          <w:sz w:val="18"/>
          <w:szCs w:val="18"/>
        </w:rPr>
      </w:pPr>
      <w:bookmarkStart w:id="40" w:name="_Ref97543983"/>
      <w:r w:rsidRPr="00676798">
        <w:rPr>
          <w:b/>
          <w:color w:val="007AAE"/>
          <w:sz w:val="18"/>
          <w:szCs w:val="18"/>
        </w:rPr>
        <w:lastRenderedPageBreak/>
        <w:t xml:space="preserve">Table </w:t>
      </w:r>
      <w:r w:rsidRPr="008742FB">
        <w:rPr>
          <w:b/>
          <w:color w:val="007AAE"/>
          <w:sz w:val="18"/>
          <w:szCs w:val="18"/>
          <w:lang w:val="es-ES_tradnl"/>
        </w:rPr>
        <w:fldChar w:fldCharType="begin"/>
      </w:r>
      <w:r w:rsidRPr="00676798">
        <w:rPr>
          <w:b/>
          <w:color w:val="007AAE"/>
          <w:sz w:val="18"/>
          <w:szCs w:val="18"/>
        </w:rPr>
        <w:instrText xml:space="preserve"> SEQ Table \* ARABIC </w:instrText>
      </w:r>
      <w:r w:rsidRPr="008742FB">
        <w:rPr>
          <w:b/>
          <w:color w:val="007AAE"/>
          <w:sz w:val="18"/>
          <w:szCs w:val="18"/>
          <w:lang w:val="es-ES_tradnl"/>
        </w:rPr>
        <w:fldChar w:fldCharType="separate"/>
      </w:r>
      <w:r>
        <w:rPr>
          <w:b/>
          <w:noProof/>
          <w:color w:val="007AAE"/>
          <w:sz w:val="18"/>
          <w:szCs w:val="18"/>
        </w:rPr>
        <w:t>4</w:t>
      </w:r>
      <w:r w:rsidRPr="008742FB">
        <w:rPr>
          <w:b/>
          <w:color w:val="007AAE"/>
          <w:sz w:val="18"/>
          <w:szCs w:val="18"/>
          <w:lang w:val="es-ES_tradnl"/>
        </w:rPr>
        <w:fldChar w:fldCharType="end"/>
      </w:r>
      <w:bookmarkEnd w:id="40"/>
      <w:r w:rsidRPr="00676798">
        <w:rPr>
          <w:bCs/>
          <w:sz w:val="18"/>
          <w:szCs w:val="18"/>
        </w:rPr>
        <w:t>.-</w:t>
      </w:r>
      <w:r w:rsidRPr="00676798">
        <w:rPr>
          <w:bCs/>
          <w:sz w:val="18"/>
          <w:szCs w:val="18"/>
        </w:rPr>
        <w:tab/>
      </w:r>
      <w:r>
        <w:rPr>
          <w:bCs/>
          <w:sz w:val="18"/>
          <w:szCs w:val="18"/>
        </w:rPr>
        <w:t>Performance and durability tests developed in NewGasMet project</w:t>
      </w:r>
      <w:r w:rsidRPr="00676798">
        <w:rPr>
          <w:bCs/>
          <w:sz w:val="18"/>
          <w:szCs w:val="18"/>
        </w:rPr>
        <w:t>.</w:t>
      </w:r>
    </w:p>
    <w:tbl>
      <w:tblPr>
        <w:tblStyle w:val="TableGrid"/>
        <w:tblW w:w="13463" w:type="dxa"/>
        <w:jc w:val="center"/>
        <w:tblLook w:val="04A0" w:firstRow="1" w:lastRow="0" w:firstColumn="1" w:lastColumn="0" w:noHBand="0" w:noVBand="1"/>
      </w:tblPr>
      <w:tblGrid>
        <w:gridCol w:w="1274"/>
        <w:gridCol w:w="992"/>
        <w:gridCol w:w="1417"/>
        <w:gridCol w:w="2835"/>
        <w:gridCol w:w="1134"/>
        <w:gridCol w:w="1701"/>
        <w:gridCol w:w="4110"/>
      </w:tblGrid>
      <w:tr w:rsidR="001110B7" w:rsidRPr="009E260C" w14:paraId="17DD7C95" w14:textId="77777777" w:rsidTr="00B26C13">
        <w:trPr>
          <w:trHeight w:val="283"/>
          <w:jc w:val="center"/>
        </w:trPr>
        <w:tc>
          <w:tcPr>
            <w:tcW w:w="1274" w:type="dxa"/>
            <w:tcBorders>
              <w:top w:val="nil"/>
              <w:left w:val="nil"/>
              <w:bottom w:val="single" w:sz="12" w:space="0" w:color="auto"/>
              <w:right w:val="nil"/>
            </w:tcBorders>
            <w:shd w:val="clear" w:color="auto" w:fill="D9D9D9" w:themeFill="background1" w:themeFillShade="D9"/>
            <w:vAlign w:val="center"/>
          </w:tcPr>
          <w:p w14:paraId="0789302B" w14:textId="77777777" w:rsidR="001110B7" w:rsidRPr="00FE0CD3" w:rsidRDefault="001110B7" w:rsidP="00F668C6">
            <w:pPr>
              <w:autoSpaceDE w:val="0"/>
              <w:autoSpaceDN w:val="0"/>
              <w:adjustRightInd w:val="0"/>
              <w:jc w:val="both"/>
              <w:rPr>
                <w:rFonts w:cs="Verdana"/>
                <w:sz w:val="16"/>
                <w:szCs w:val="16"/>
                <w:lang w:eastAsia="es-ES"/>
              </w:rPr>
            </w:pPr>
            <w:r w:rsidRPr="00FE0CD3">
              <w:rPr>
                <w:sz w:val="16"/>
                <w:szCs w:val="16"/>
              </w:rPr>
              <w:t>Test</w:t>
            </w:r>
          </w:p>
        </w:tc>
        <w:tc>
          <w:tcPr>
            <w:tcW w:w="992" w:type="dxa"/>
            <w:tcBorders>
              <w:top w:val="nil"/>
              <w:left w:val="nil"/>
              <w:bottom w:val="single" w:sz="12" w:space="0" w:color="auto"/>
              <w:right w:val="nil"/>
            </w:tcBorders>
            <w:shd w:val="clear" w:color="auto" w:fill="D9D9D9" w:themeFill="background1" w:themeFillShade="D9"/>
            <w:vAlign w:val="center"/>
          </w:tcPr>
          <w:p w14:paraId="350994E0" w14:textId="77777777" w:rsidR="001110B7" w:rsidRPr="00FE0CD3" w:rsidRDefault="001110B7" w:rsidP="00F668C6">
            <w:pPr>
              <w:autoSpaceDE w:val="0"/>
              <w:autoSpaceDN w:val="0"/>
              <w:adjustRightInd w:val="0"/>
              <w:jc w:val="both"/>
              <w:rPr>
                <w:rFonts w:cs="Verdana"/>
                <w:sz w:val="16"/>
                <w:szCs w:val="16"/>
                <w:lang w:eastAsia="es-ES"/>
              </w:rPr>
            </w:pPr>
            <w:r w:rsidRPr="00FE0CD3">
              <w:rPr>
                <w:sz w:val="16"/>
                <w:szCs w:val="16"/>
              </w:rPr>
              <w:t>Partner</w:t>
            </w:r>
          </w:p>
        </w:tc>
        <w:tc>
          <w:tcPr>
            <w:tcW w:w="1417" w:type="dxa"/>
            <w:tcBorders>
              <w:top w:val="nil"/>
              <w:left w:val="nil"/>
              <w:bottom w:val="single" w:sz="12" w:space="0" w:color="auto"/>
              <w:right w:val="nil"/>
            </w:tcBorders>
            <w:shd w:val="clear" w:color="auto" w:fill="D9D9D9" w:themeFill="background1" w:themeFillShade="D9"/>
            <w:vAlign w:val="center"/>
          </w:tcPr>
          <w:p w14:paraId="4BA11DA5" w14:textId="77777777" w:rsidR="001110B7" w:rsidRPr="00FE0CD3" w:rsidRDefault="001110B7" w:rsidP="00F668C6">
            <w:pPr>
              <w:autoSpaceDE w:val="0"/>
              <w:autoSpaceDN w:val="0"/>
              <w:adjustRightInd w:val="0"/>
              <w:jc w:val="both"/>
              <w:rPr>
                <w:rFonts w:cs="Verdana"/>
                <w:sz w:val="16"/>
                <w:szCs w:val="16"/>
                <w:lang w:eastAsia="es-ES"/>
              </w:rPr>
            </w:pPr>
            <w:r w:rsidRPr="00FE0CD3">
              <w:rPr>
                <w:sz w:val="16"/>
                <w:szCs w:val="16"/>
              </w:rPr>
              <w:t>Gas</w:t>
            </w:r>
          </w:p>
        </w:tc>
        <w:tc>
          <w:tcPr>
            <w:tcW w:w="2835" w:type="dxa"/>
            <w:tcBorders>
              <w:top w:val="nil"/>
              <w:left w:val="nil"/>
              <w:bottom w:val="single" w:sz="12" w:space="0" w:color="auto"/>
              <w:right w:val="nil"/>
            </w:tcBorders>
            <w:shd w:val="clear" w:color="auto" w:fill="D9D9D9" w:themeFill="background1" w:themeFillShade="D9"/>
            <w:vAlign w:val="center"/>
          </w:tcPr>
          <w:p w14:paraId="7EFB10FA" w14:textId="77777777" w:rsidR="001110B7" w:rsidRPr="00FE0CD3" w:rsidRDefault="001110B7" w:rsidP="00F668C6">
            <w:pPr>
              <w:autoSpaceDE w:val="0"/>
              <w:autoSpaceDN w:val="0"/>
              <w:adjustRightInd w:val="0"/>
              <w:jc w:val="both"/>
              <w:rPr>
                <w:rFonts w:cs="Verdana"/>
                <w:sz w:val="16"/>
                <w:szCs w:val="16"/>
                <w:lang w:eastAsia="es-ES"/>
              </w:rPr>
            </w:pPr>
            <w:r w:rsidRPr="00FE0CD3">
              <w:rPr>
                <w:sz w:val="16"/>
                <w:szCs w:val="16"/>
              </w:rPr>
              <w:t>Flow meter</w:t>
            </w:r>
          </w:p>
        </w:tc>
        <w:tc>
          <w:tcPr>
            <w:tcW w:w="1134" w:type="dxa"/>
            <w:tcBorders>
              <w:top w:val="nil"/>
              <w:left w:val="nil"/>
              <w:bottom w:val="single" w:sz="12" w:space="0" w:color="auto"/>
              <w:right w:val="nil"/>
            </w:tcBorders>
            <w:shd w:val="clear" w:color="auto" w:fill="D9D9D9" w:themeFill="background1" w:themeFillShade="D9"/>
            <w:vAlign w:val="center"/>
          </w:tcPr>
          <w:p w14:paraId="00C73AAA" w14:textId="77777777" w:rsidR="001110B7" w:rsidRPr="00FE0CD3" w:rsidRDefault="001110B7" w:rsidP="00F668C6">
            <w:pPr>
              <w:autoSpaceDE w:val="0"/>
              <w:autoSpaceDN w:val="0"/>
              <w:adjustRightInd w:val="0"/>
              <w:jc w:val="both"/>
              <w:rPr>
                <w:rFonts w:cs="Verdana"/>
                <w:sz w:val="16"/>
                <w:szCs w:val="16"/>
                <w:lang w:eastAsia="es-ES"/>
              </w:rPr>
            </w:pPr>
            <w:r w:rsidRPr="00FE0CD3">
              <w:rPr>
                <w:sz w:val="16"/>
                <w:szCs w:val="16"/>
              </w:rPr>
              <w:t>Pressure</w:t>
            </w:r>
          </w:p>
        </w:tc>
        <w:tc>
          <w:tcPr>
            <w:tcW w:w="1701" w:type="dxa"/>
            <w:tcBorders>
              <w:top w:val="nil"/>
              <w:left w:val="nil"/>
              <w:bottom w:val="single" w:sz="12" w:space="0" w:color="auto"/>
              <w:right w:val="nil"/>
            </w:tcBorders>
            <w:shd w:val="clear" w:color="auto" w:fill="D9D9D9" w:themeFill="background1" w:themeFillShade="D9"/>
            <w:vAlign w:val="center"/>
          </w:tcPr>
          <w:p w14:paraId="76223856" w14:textId="77777777" w:rsidR="001110B7" w:rsidRPr="00FE0CD3" w:rsidRDefault="001110B7" w:rsidP="00F668C6">
            <w:pPr>
              <w:autoSpaceDE w:val="0"/>
              <w:autoSpaceDN w:val="0"/>
              <w:adjustRightInd w:val="0"/>
              <w:jc w:val="both"/>
              <w:rPr>
                <w:rFonts w:cs="Verdana"/>
                <w:sz w:val="16"/>
                <w:szCs w:val="16"/>
                <w:lang w:eastAsia="es-ES"/>
              </w:rPr>
            </w:pPr>
            <w:r w:rsidRPr="00FE0CD3">
              <w:rPr>
                <w:sz w:val="16"/>
                <w:szCs w:val="16"/>
              </w:rPr>
              <w:t>Tests flow rates</w:t>
            </w:r>
          </w:p>
        </w:tc>
        <w:tc>
          <w:tcPr>
            <w:tcW w:w="4110" w:type="dxa"/>
            <w:tcBorders>
              <w:top w:val="nil"/>
              <w:left w:val="nil"/>
              <w:bottom w:val="single" w:sz="12" w:space="0" w:color="auto"/>
              <w:right w:val="nil"/>
            </w:tcBorders>
            <w:shd w:val="clear" w:color="auto" w:fill="D9D9D9" w:themeFill="background1" w:themeFillShade="D9"/>
            <w:vAlign w:val="center"/>
          </w:tcPr>
          <w:p w14:paraId="19D83E5F" w14:textId="77777777" w:rsidR="001110B7" w:rsidRPr="00FE0CD3" w:rsidRDefault="001110B7" w:rsidP="00F668C6">
            <w:pPr>
              <w:autoSpaceDE w:val="0"/>
              <w:autoSpaceDN w:val="0"/>
              <w:adjustRightInd w:val="0"/>
              <w:jc w:val="both"/>
              <w:rPr>
                <w:rFonts w:cs="Verdana"/>
                <w:sz w:val="16"/>
                <w:szCs w:val="16"/>
                <w:lang w:eastAsia="es-ES"/>
              </w:rPr>
            </w:pPr>
            <w:r w:rsidRPr="00FE0CD3">
              <w:rPr>
                <w:sz w:val="16"/>
                <w:szCs w:val="16"/>
              </w:rPr>
              <w:t>Additional information</w:t>
            </w:r>
          </w:p>
        </w:tc>
      </w:tr>
      <w:tr w:rsidR="001110B7" w:rsidRPr="009E260C" w14:paraId="4E05BB8A" w14:textId="77777777" w:rsidTr="00B26C13">
        <w:trPr>
          <w:trHeight w:val="1417"/>
          <w:jc w:val="center"/>
        </w:trPr>
        <w:tc>
          <w:tcPr>
            <w:tcW w:w="1274" w:type="dxa"/>
            <w:vMerge w:val="restart"/>
            <w:tcBorders>
              <w:top w:val="single" w:sz="12" w:space="0" w:color="auto"/>
              <w:left w:val="nil"/>
              <w:right w:val="nil"/>
            </w:tcBorders>
            <w:shd w:val="clear" w:color="auto" w:fill="auto"/>
            <w:vAlign w:val="center"/>
          </w:tcPr>
          <w:p w14:paraId="27013134" w14:textId="77777777" w:rsidR="001110B7" w:rsidRPr="001F5ECC" w:rsidRDefault="001110B7" w:rsidP="00F668C6">
            <w:pPr>
              <w:autoSpaceDE w:val="0"/>
              <w:autoSpaceDN w:val="0"/>
              <w:adjustRightInd w:val="0"/>
              <w:spacing w:before="60" w:after="60"/>
              <w:jc w:val="both"/>
              <w:rPr>
                <w:sz w:val="16"/>
                <w:szCs w:val="16"/>
              </w:rPr>
            </w:pPr>
            <w:r w:rsidRPr="001F5ECC">
              <w:rPr>
                <w:sz w:val="16"/>
                <w:szCs w:val="16"/>
              </w:rPr>
              <w:t>Performance</w:t>
            </w:r>
          </w:p>
        </w:tc>
        <w:tc>
          <w:tcPr>
            <w:tcW w:w="992" w:type="dxa"/>
            <w:vMerge w:val="restart"/>
            <w:tcBorders>
              <w:top w:val="single" w:sz="12" w:space="0" w:color="auto"/>
              <w:left w:val="nil"/>
              <w:right w:val="nil"/>
            </w:tcBorders>
            <w:vAlign w:val="center"/>
          </w:tcPr>
          <w:p w14:paraId="73C95FE5" w14:textId="77777777" w:rsidR="001110B7" w:rsidRPr="001F5ECC" w:rsidRDefault="001110B7" w:rsidP="00F668C6">
            <w:pPr>
              <w:autoSpaceDE w:val="0"/>
              <w:autoSpaceDN w:val="0"/>
              <w:adjustRightInd w:val="0"/>
              <w:spacing w:before="60" w:after="60"/>
              <w:jc w:val="both"/>
              <w:rPr>
                <w:sz w:val="16"/>
                <w:szCs w:val="16"/>
              </w:rPr>
            </w:pPr>
            <w:r w:rsidRPr="001F5ECC">
              <w:rPr>
                <w:sz w:val="16"/>
                <w:szCs w:val="16"/>
              </w:rPr>
              <w:t>VSL</w:t>
            </w:r>
          </w:p>
        </w:tc>
        <w:tc>
          <w:tcPr>
            <w:tcW w:w="1417" w:type="dxa"/>
            <w:vMerge w:val="restart"/>
            <w:tcBorders>
              <w:top w:val="single" w:sz="12" w:space="0" w:color="auto"/>
              <w:left w:val="nil"/>
              <w:right w:val="nil"/>
            </w:tcBorders>
            <w:shd w:val="clear" w:color="auto" w:fill="auto"/>
            <w:vAlign w:val="center"/>
          </w:tcPr>
          <w:p w14:paraId="0F70C363" w14:textId="62433195" w:rsidR="001110B7" w:rsidRPr="001F5ECC" w:rsidRDefault="001110B7" w:rsidP="00F668C6">
            <w:pPr>
              <w:autoSpaceDE w:val="0"/>
              <w:autoSpaceDN w:val="0"/>
              <w:adjustRightInd w:val="0"/>
              <w:spacing w:before="60" w:after="60"/>
              <w:jc w:val="both"/>
              <w:rPr>
                <w:rFonts w:cs="Verdana"/>
                <w:sz w:val="16"/>
                <w:szCs w:val="16"/>
                <w:lang w:eastAsia="es-ES"/>
              </w:rPr>
            </w:pPr>
            <w:r w:rsidRPr="001F5ECC">
              <w:rPr>
                <w:sz w:val="16"/>
                <w:szCs w:val="16"/>
              </w:rPr>
              <w:t>Natural gas and hydrogen admixture (15 vol</w:t>
            </w:r>
            <w:r w:rsidR="00E376AD">
              <w:rPr>
                <w:sz w:val="16"/>
                <w:szCs w:val="16"/>
              </w:rPr>
              <w:t xml:space="preserve"> </w:t>
            </w:r>
            <w:r w:rsidRPr="001F5ECC">
              <w:rPr>
                <w:sz w:val="16"/>
                <w:szCs w:val="16"/>
              </w:rPr>
              <w:t>% H</w:t>
            </w:r>
            <w:r w:rsidRPr="00FA5AF0">
              <w:rPr>
                <w:sz w:val="16"/>
                <w:szCs w:val="16"/>
                <w:vertAlign w:val="subscript"/>
              </w:rPr>
              <w:t>2</w:t>
            </w:r>
            <w:r w:rsidRPr="001F5ECC">
              <w:rPr>
                <w:sz w:val="16"/>
                <w:szCs w:val="16"/>
              </w:rPr>
              <w:t>)</w:t>
            </w:r>
          </w:p>
        </w:tc>
        <w:tc>
          <w:tcPr>
            <w:tcW w:w="2835" w:type="dxa"/>
            <w:vMerge w:val="restart"/>
            <w:tcBorders>
              <w:top w:val="single" w:sz="12" w:space="0" w:color="auto"/>
              <w:left w:val="nil"/>
              <w:right w:val="nil"/>
            </w:tcBorders>
            <w:vAlign w:val="center"/>
          </w:tcPr>
          <w:p w14:paraId="740475B8" w14:textId="77777777" w:rsidR="001110B7" w:rsidRPr="001F5ECC" w:rsidRDefault="001110B7" w:rsidP="00F668C6">
            <w:pPr>
              <w:pStyle w:val="ListParagraph"/>
              <w:numPr>
                <w:ilvl w:val="3"/>
                <w:numId w:val="11"/>
              </w:numPr>
              <w:autoSpaceDE w:val="0"/>
              <w:autoSpaceDN w:val="0"/>
              <w:adjustRightInd w:val="0"/>
              <w:spacing w:before="60" w:after="60"/>
              <w:ind w:left="142" w:hanging="142"/>
              <w:contextualSpacing w:val="0"/>
              <w:jc w:val="both"/>
              <w:rPr>
                <w:sz w:val="16"/>
                <w:szCs w:val="16"/>
                <w:lang w:val="en-GB"/>
              </w:rPr>
            </w:pPr>
            <w:r w:rsidRPr="001F5ECC">
              <w:rPr>
                <w:sz w:val="16"/>
                <w:szCs w:val="16"/>
                <w:lang w:val="en-GB"/>
              </w:rPr>
              <w:t>Technology: Rotary</w:t>
            </w:r>
          </w:p>
          <w:p w14:paraId="6A24FBFE" w14:textId="77777777" w:rsidR="001110B7" w:rsidRPr="00BF32E0" w:rsidRDefault="001110B7" w:rsidP="00F668C6">
            <w:pPr>
              <w:pStyle w:val="ListParagraph"/>
              <w:numPr>
                <w:ilvl w:val="3"/>
                <w:numId w:val="11"/>
              </w:numPr>
              <w:autoSpaceDE w:val="0"/>
              <w:autoSpaceDN w:val="0"/>
              <w:adjustRightInd w:val="0"/>
              <w:spacing w:before="60" w:after="60"/>
              <w:ind w:left="142" w:hanging="142"/>
              <w:contextualSpacing w:val="0"/>
              <w:jc w:val="both"/>
              <w:rPr>
                <w:sz w:val="16"/>
                <w:szCs w:val="16"/>
                <w:lang w:val="es-ES_tradnl"/>
              </w:rPr>
            </w:pPr>
            <w:proofErr w:type="spellStart"/>
            <w:r w:rsidRPr="00BF32E0">
              <w:rPr>
                <w:sz w:val="16"/>
                <w:szCs w:val="16"/>
                <w:lang w:val="es-ES_tradnl"/>
              </w:rPr>
              <w:t>Model</w:t>
            </w:r>
            <w:proofErr w:type="spellEnd"/>
            <w:r w:rsidRPr="00BF32E0">
              <w:rPr>
                <w:sz w:val="16"/>
                <w:szCs w:val="16"/>
                <w:lang w:val="es-ES_tradnl"/>
              </w:rPr>
              <w:t>: G100</w:t>
            </w:r>
          </w:p>
          <w:p w14:paraId="27E42BB2" w14:textId="77777777" w:rsidR="001110B7" w:rsidRPr="001F5ECC" w:rsidRDefault="001110B7" w:rsidP="00F668C6">
            <w:pPr>
              <w:pStyle w:val="ListParagraph"/>
              <w:numPr>
                <w:ilvl w:val="0"/>
                <w:numId w:val="10"/>
              </w:numPr>
              <w:autoSpaceDE w:val="0"/>
              <w:autoSpaceDN w:val="0"/>
              <w:adjustRightInd w:val="0"/>
              <w:spacing w:before="60" w:after="60"/>
              <w:ind w:left="142" w:hanging="142"/>
              <w:contextualSpacing w:val="0"/>
              <w:jc w:val="both"/>
              <w:rPr>
                <w:sz w:val="16"/>
                <w:szCs w:val="16"/>
                <w:lang w:val="en-GB"/>
              </w:rPr>
            </w:pPr>
            <w:r w:rsidRPr="001F5ECC">
              <w:rPr>
                <w:sz w:val="16"/>
                <w:szCs w:val="16"/>
                <w:lang w:val="en-GB"/>
              </w:rPr>
              <w:t>Meter supply: New</w:t>
            </w:r>
          </w:p>
        </w:tc>
        <w:tc>
          <w:tcPr>
            <w:tcW w:w="1134" w:type="dxa"/>
            <w:tcBorders>
              <w:top w:val="single" w:sz="12" w:space="0" w:color="auto"/>
              <w:left w:val="nil"/>
              <w:bottom w:val="single" w:sz="4" w:space="0" w:color="auto"/>
              <w:right w:val="nil"/>
            </w:tcBorders>
            <w:vAlign w:val="center"/>
          </w:tcPr>
          <w:p w14:paraId="776D1F22" w14:textId="77777777" w:rsidR="001110B7" w:rsidRPr="001F5ECC" w:rsidRDefault="001110B7" w:rsidP="00F668C6">
            <w:pPr>
              <w:autoSpaceDE w:val="0"/>
              <w:autoSpaceDN w:val="0"/>
              <w:adjustRightInd w:val="0"/>
              <w:spacing w:before="60" w:after="60"/>
              <w:jc w:val="both"/>
              <w:rPr>
                <w:sz w:val="16"/>
                <w:szCs w:val="16"/>
              </w:rPr>
            </w:pPr>
            <w:r w:rsidRPr="00FA5AF0">
              <w:rPr>
                <w:sz w:val="16"/>
                <w:szCs w:val="16"/>
              </w:rPr>
              <w:t>9 bara</w:t>
            </w:r>
          </w:p>
        </w:tc>
        <w:tc>
          <w:tcPr>
            <w:tcW w:w="1701" w:type="dxa"/>
            <w:vMerge w:val="restart"/>
            <w:tcBorders>
              <w:top w:val="single" w:sz="12" w:space="0" w:color="auto"/>
              <w:left w:val="nil"/>
              <w:right w:val="nil"/>
            </w:tcBorders>
            <w:vAlign w:val="center"/>
          </w:tcPr>
          <w:p w14:paraId="30504287" w14:textId="77777777" w:rsidR="001110B7" w:rsidRPr="001F5ECC" w:rsidRDefault="001110B7" w:rsidP="00F668C6">
            <w:pPr>
              <w:autoSpaceDE w:val="0"/>
              <w:autoSpaceDN w:val="0"/>
              <w:adjustRightInd w:val="0"/>
              <w:spacing w:before="60" w:after="60"/>
              <w:jc w:val="both"/>
              <w:rPr>
                <w:sz w:val="16"/>
                <w:szCs w:val="16"/>
              </w:rPr>
            </w:pPr>
            <w:r w:rsidRPr="00FA5AF0">
              <w:rPr>
                <w:sz w:val="16"/>
                <w:szCs w:val="16"/>
              </w:rPr>
              <w:t xml:space="preserve">The </w:t>
            </w:r>
            <w:proofErr w:type="spellStart"/>
            <w:r w:rsidRPr="00FA5AF0">
              <w:rPr>
                <w:sz w:val="16"/>
                <w:szCs w:val="16"/>
              </w:rPr>
              <w:t>MuT</w:t>
            </w:r>
            <w:proofErr w:type="spellEnd"/>
            <w:r w:rsidRPr="00FA5AF0">
              <w:rPr>
                <w:sz w:val="16"/>
                <w:szCs w:val="16"/>
              </w:rPr>
              <w:t xml:space="preserve"> was calibrated at 7 different flow rates</w:t>
            </w:r>
            <w:r>
              <w:rPr>
                <w:sz w:val="16"/>
                <w:szCs w:val="16"/>
              </w:rPr>
              <w:t>,</w:t>
            </w:r>
            <w:r w:rsidRPr="00FA5AF0">
              <w:rPr>
                <w:sz w:val="16"/>
                <w:szCs w:val="16"/>
              </w:rPr>
              <w:t xml:space="preserve"> from 5 to 160 m</w:t>
            </w:r>
            <w:r w:rsidRPr="00FA5AF0">
              <w:rPr>
                <w:sz w:val="16"/>
                <w:szCs w:val="16"/>
                <w:vertAlign w:val="superscript"/>
              </w:rPr>
              <w:t>3</w:t>
            </w:r>
            <w:r w:rsidRPr="00FA5AF0">
              <w:rPr>
                <w:sz w:val="16"/>
                <w:szCs w:val="16"/>
              </w:rPr>
              <w:t>/h (actual conditions)</w:t>
            </w:r>
          </w:p>
        </w:tc>
        <w:tc>
          <w:tcPr>
            <w:tcW w:w="4110" w:type="dxa"/>
            <w:vMerge w:val="restart"/>
            <w:tcBorders>
              <w:top w:val="single" w:sz="12" w:space="0" w:color="auto"/>
              <w:left w:val="nil"/>
              <w:right w:val="nil"/>
            </w:tcBorders>
            <w:vAlign w:val="center"/>
          </w:tcPr>
          <w:p w14:paraId="12151388" w14:textId="77777777" w:rsidR="001110B7" w:rsidRDefault="001110B7" w:rsidP="00F668C6">
            <w:pPr>
              <w:pStyle w:val="ListParagraph"/>
              <w:numPr>
                <w:ilvl w:val="0"/>
                <w:numId w:val="12"/>
              </w:numPr>
              <w:autoSpaceDE w:val="0"/>
              <w:autoSpaceDN w:val="0"/>
              <w:adjustRightInd w:val="0"/>
              <w:spacing w:before="60" w:after="60"/>
              <w:ind w:left="142" w:hanging="142"/>
              <w:contextualSpacing w:val="0"/>
              <w:jc w:val="both"/>
              <w:rPr>
                <w:sz w:val="16"/>
                <w:szCs w:val="16"/>
                <w:lang w:val="en-GB"/>
              </w:rPr>
            </w:pPr>
            <w:r>
              <w:rPr>
                <w:sz w:val="16"/>
                <w:szCs w:val="16"/>
                <w:lang w:val="en-GB"/>
              </w:rPr>
              <w:t>N</w:t>
            </w:r>
            <w:r w:rsidRPr="00FA5AF0">
              <w:rPr>
                <w:sz w:val="16"/>
                <w:szCs w:val="16"/>
                <w:lang w:val="en-GB"/>
              </w:rPr>
              <w:t>G from gas grid. Hydrogen from cylinders. Measured composition (CH</w:t>
            </w:r>
            <w:r w:rsidRPr="00FE0CD3">
              <w:rPr>
                <w:sz w:val="16"/>
                <w:szCs w:val="16"/>
                <w:vertAlign w:val="subscript"/>
                <w:lang w:val="en-GB"/>
              </w:rPr>
              <w:t>4</w:t>
            </w:r>
            <w:r w:rsidRPr="00FA5AF0">
              <w:rPr>
                <w:sz w:val="16"/>
                <w:szCs w:val="16"/>
                <w:lang w:val="en-GB"/>
              </w:rPr>
              <w:t>, N</w:t>
            </w:r>
            <w:r w:rsidRPr="00FE0CD3">
              <w:rPr>
                <w:sz w:val="16"/>
                <w:szCs w:val="16"/>
                <w:vertAlign w:val="subscript"/>
                <w:lang w:val="en-GB"/>
              </w:rPr>
              <w:t>2</w:t>
            </w:r>
            <w:r w:rsidRPr="00FA5AF0">
              <w:rPr>
                <w:sz w:val="16"/>
                <w:szCs w:val="16"/>
                <w:lang w:val="en-GB"/>
              </w:rPr>
              <w:t>, H</w:t>
            </w:r>
            <w:r w:rsidRPr="00FE0CD3">
              <w:rPr>
                <w:sz w:val="16"/>
                <w:szCs w:val="16"/>
                <w:vertAlign w:val="subscript"/>
                <w:lang w:val="en-GB"/>
              </w:rPr>
              <w:t>2</w:t>
            </w:r>
            <w:r w:rsidRPr="00FA5AF0">
              <w:rPr>
                <w:sz w:val="16"/>
                <w:szCs w:val="16"/>
                <w:lang w:val="en-GB"/>
              </w:rPr>
              <w:t>)</w:t>
            </w:r>
            <w:r>
              <w:rPr>
                <w:sz w:val="16"/>
                <w:szCs w:val="16"/>
                <w:lang w:val="en-GB"/>
              </w:rPr>
              <w:t>.</w:t>
            </w:r>
          </w:p>
          <w:p w14:paraId="4D9AFDC1" w14:textId="77777777" w:rsidR="001110B7" w:rsidRPr="001F5ECC" w:rsidRDefault="001110B7" w:rsidP="00F668C6">
            <w:pPr>
              <w:pStyle w:val="ListParagraph"/>
              <w:numPr>
                <w:ilvl w:val="0"/>
                <w:numId w:val="12"/>
              </w:numPr>
              <w:autoSpaceDE w:val="0"/>
              <w:autoSpaceDN w:val="0"/>
              <w:adjustRightInd w:val="0"/>
              <w:spacing w:before="60" w:after="60"/>
              <w:ind w:left="142" w:hanging="142"/>
              <w:contextualSpacing w:val="0"/>
              <w:jc w:val="both"/>
              <w:rPr>
                <w:sz w:val="16"/>
                <w:szCs w:val="16"/>
                <w:lang w:val="en-GB"/>
              </w:rPr>
            </w:pPr>
            <w:r w:rsidRPr="001F5ECC">
              <w:rPr>
                <w:sz w:val="16"/>
                <w:szCs w:val="16"/>
                <w:lang w:val="en-GB"/>
              </w:rPr>
              <w:t xml:space="preserve">Although differences between errors with NG and HENG are mostly negative, these changes are insignificant from a metrological standpoint. </w:t>
            </w:r>
            <w:r>
              <w:rPr>
                <w:sz w:val="16"/>
                <w:szCs w:val="16"/>
                <w:lang w:val="en-GB"/>
              </w:rPr>
              <w:t>Preliminary r</w:t>
            </w:r>
            <w:r w:rsidRPr="001F5ECC">
              <w:rPr>
                <w:sz w:val="16"/>
                <w:szCs w:val="16"/>
                <w:lang w:val="en-GB"/>
              </w:rPr>
              <w:t>esults indicate that, for the rotary flow meter and hydrogen admixture used, the meter error differences between high-pressure hydrogen admixture calibration and high-pressure natural gas calibration are smaller than the meter error differences between atmospheric pressure air calibration and high-pressure natural gas calibration.</w:t>
            </w:r>
          </w:p>
        </w:tc>
      </w:tr>
      <w:tr w:rsidR="001110B7" w:rsidRPr="009E260C" w14:paraId="270679EB" w14:textId="77777777" w:rsidTr="00B26C13">
        <w:trPr>
          <w:trHeight w:val="1417"/>
          <w:jc w:val="center"/>
        </w:trPr>
        <w:tc>
          <w:tcPr>
            <w:tcW w:w="1274" w:type="dxa"/>
            <w:vMerge/>
            <w:tcBorders>
              <w:left w:val="nil"/>
              <w:bottom w:val="single" w:sz="4" w:space="0" w:color="auto"/>
              <w:right w:val="nil"/>
            </w:tcBorders>
            <w:shd w:val="clear" w:color="auto" w:fill="auto"/>
            <w:vAlign w:val="center"/>
          </w:tcPr>
          <w:p w14:paraId="4CF88296" w14:textId="77777777" w:rsidR="001110B7" w:rsidRPr="001F5ECC" w:rsidRDefault="001110B7" w:rsidP="00F668C6">
            <w:pPr>
              <w:autoSpaceDE w:val="0"/>
              <w:autoSpaceDN w:val="0"/>
              <w:adjustRightInd w:val="0"/>
              <w:spacing w:before="60" w:after="60"/>
              <w:jc w:val="both"/>
              <w:rPr>
                <w:sz w:val="16"/>
                <w:szCs w:val="16"/>
              </w:rPr>
            </w:pPr>
          </w:p>
        </w:tc>
        <w:tc>
          <w:tcPr>
            <w:tcW w:w="992" w:type="dxa"/>
            <w:vMerge/>
            <w:tcBorders>
              <w:left w:val="nil"/>
              <w:bottom w:val="single" w:sz="4" w:space="0" w:color="auto"/>
              <w:right w:val="nil"/>
            </w:tcBorders>
            <w:vAlign w:val="center"/>
          </w:tcPr>
          <w:p w14:paraId="74B68C15" w14:textId="77777777" w:rsidR="001110B7" w:rsidRPr="001F5ECC" w:rsidRDefault="001110B7" w:rsidP="00F668C6">
            <w:pPr>
              <w:autoSpaceDE w:val="0"/>
              <w:autoSpaceDN w:val="0"/>
              <w:adjustRightInd w:val="0"/>
              <w:spacing w:before="60" w:after="60"/>
              <w:jc w:val="both"/>
              <w:rPr>
                <w:sz w:val="16"/>
                <w:szCs w:val="16"/>
              </w:rPr>
            </w:pPr>
          </w:p>
        </w:tc>
        <w:tc>
          <w:tcPr>
            <w:tcW w:w="1417" w:type="dxa"/>
            <w:vMerge/>
            <w:tcBorders>
              <w:left w:val="nil"/>
              <w:bottom w:val="single" w:sz="4" w:space="0" w:color="auto"/>
              <w:right w:val="nil"/>
            </w:tcBorders>
            <w:shd w:val="clear" w:color="auto" w:fill="auto"/>
            <w:vAlign w:val="center"/>
          </w:tcPr>
          <w:p w14:paraId="1A28E86F" w14:textId="77777777" w:rsidR="001110B7" w:rsidRPr="001F5ECC" w:rsidRDefault="001110B7" w:rsidP="00F668C6">
            <w:pPr>
              <w:autoSpaceDE w:val="0"/>
              <w:autoSpaceDN w:val="0"/>
              <w:adjustRightInd w:val="0"/>
              <w:spacing w:before="60" w:after="60"/>
              <w:jc w:val="both"/>
              <w:rPr>
                <w:rFonts w:cs="Verdana"/>
                <w:sz w:val="16"/>
                <w:szCs w:val="16"/>
                <w:lang w:eastAsia="es-ES"/>
              </w:rPr>
            </w:pPr>
          </w:p>
        </w:tc>
        <w:tc>
          <w:tcPr>
            <w:tcW w:w="2835" w:type="dxa"/>
            <w:vMerge/>
            <w:tcBorders>
              <w:left w:val="nil"/>
              <w:bottom w:val="single" w:sz="4" w:space="0" w:color="auto"/>
              <w:right w:val="nil"/>
            </w:tcBorders>
            <w:vAlign w:val="center"/>
          </w:tcPr>
          <w:p w14:paraId="2E69A5E5" w14:textId="77777777" w:rsidR="001110B7" w:rsidRPr="001F5ECC" w:rsidRDefault="001110B7" w:rsidP="00F668C6">
            <w:pPr>
              <w:autoSpaceDE w:val="0"/>
              <w:autoSpaceDN w:val="0"/>
              <w:adjustRightInd w:val="0"/>
              <w:spacing w:before="60" w:after="60"/>
              <w:jc w:val="both"/>
              <w:rPr>
                <w:sz w:val="16"/>
                <w:szCs w:val="16"/>
              </w:rPr>
            </w:pPr>
          </w:p>
        </w:tc>
        <w:tc>
          <w:tcPr>
            <w:tcW w:w="1134" w:type="dxa"/>
            <w:tcBorders>
              <w:top w:val="single" w:sz="4" w:space="0" w:color="auto"/>
              <w:left w:val="nil"/>
              <w:bottom w:val="single" w:sz="4" w:space="0" w:color="auto"/>
              <w:right w:val="nil"/>
            </w:tcBorders>
            <w:vAlign w:val="center"/>
          </w:tcPr>
          <w:p w14:paraId="260E052E" w14:textId="77777777" w:rsidR="001110B7" w:rsidRPr="001F5ECC" w:rsidRDefault="001110B7" w:rsidP="00F668C6">
            <w:pPr>
              <w:autoSpaceDE w:val="0"/>
              <w:autoSpaceDN w:val="0"/>
              <w:adjustRightInd w:val="0"/>
              <w:spacing w:before="60" w:after="60"/>
              <w:jc w:val="both"/>
              <w:rPr>
                <w:sz w:val="16"/>
                <w:szCs w:val="16"/>
              </w:rPr>
            </w:pPr>
            <w:r>
              <w:rPr>
                <w:sz w:val="16"/>
                <w:szCs w:val="16"/>
              </w:rPr>
              <w:t>16 bara</w:t>
            </w:r>
          </w:p>
        </w:tc>
        <w:tc>
          <w:tcPr>
            <w:tcW w:w="1701" w:type="dxa"/>
            <w:vMerge/>
            <w:tcBorders>
              <w:left w:val="nil"/>
              <w:bottom w:val="single" w:sz="4" w:space="0" w:color="auto"/>
              <w:right w:val="nil"/>
            </w:tcBorders>
            <w:vAlign w:val="center"/>
          </w:tcPr>
          <w:p w14:paraId="02E97807" w14:textId="77777777" w:rsidR="001110B7" w:rsidRPr="001F5ECC" w:rsidRDefault="001110B7" w:rsidP="00F668C6">
            <w:pPr>
              <w:autoSpaceDE w:val="0"/>
              <w:autoSpaceDN w:val="0"/>
              <w:adjustRightInd w:val="0"/>
              <w:spacing w:before="60" w:after="60"/>
              <w:jc w:val="both"/>
              <w:rPr>
                <w:sz w:val="16"/>
                <w:szCs w:val="16"/>
              </w:rPr>
            </w:pPr>
          </w:p>
        </w:tc>
        <w:tc>
          <w:tcPr>
            <w:tcW w:w="4110" w:type="dxa"/>
            <w:vMerge/>
            <w:tcBorders>
              <w:left w:val="nil"/>
              <w:bottom w:val="single" w:sz="4" w:space="0" w:color="auto"/>
              <w:right w:val="nil"/>
            </w:tcBorders>
            <w:vAlign w:val="center"/>
          </w:tcPr>
          <w:p w14:paraId="51AE4E81" w14:textId="77777777" w:rsidR="001110B7" w:rsidRPr="001F5ECC" w:rsidRDefault="001110B7" w:rsidP="00F668C6">
            <w:pPr>
              <w:autoSpaceDE w:val="0"/>
              <w:autoSpaceDN w:val="0"/>
              <w:adjustRightInd w:val="0"/>
              <w:spacing w:before="60" w:after="60"/>
              <w:jc w:val="both"/>
              <w:rPr>
                <w:sz w:val="16"/>
                <w:szCs w:val="16"/>
              </w:rPr>
            </w:pPr>
          </w:p>
        </w:tc>
      </w:tr>
      <w:tr w:rsidR="001110B7" w:rsidRPr="009E260C" w14:paraId="78DAB9BA" w14:textId="77777777" w:rsidTr="00B26C13">
        <w:trPr>
          <w:trHeight w:val="283"/>
          <w:jc w:val="center"/>
        </w:trPr>
        <w:tc>
          <w:tcPr>
            <w:tcW w:w="1274" w:type="dxa"/>
            <w:vMerge w:val="restart"/>
            <w:tcBorders>
              <w:top w:val="single" w:sz="4" w:space="0" w:color="auto"/>
              <w:left w:val="nil"/>
              <w:right w:val="nil"/>
            </w:tcBorders>
            <w:shd w:val="clear" w:color="auto" w:fill="auto"/>
            <w:vAlign w:val="center"/>
          </w:tcPr>
          <w:p w14:paraId="3E7FE8B0" w14:textId="77777777" w:rsidR="001110B7" w:rsidRPr="001F5ECC" w:rsidRDefault="001110B7" w:rsidP="00F668C6">
            <w:pPr>
              <w:autoSpaceDE w:val="0"/>
              <w:autoSpaceDN w:val="0"/>
              <w:adjustRightInd w:val="0"/>
              <w:spacing w:before="60" w:after="60"/>
              <w:jc w:val="both"/>
              <w:rPr>
                <w:b/>
                <w:bCs/>
                <w:sz w:val="16"/>
                <w:szCs w:val="16"/>
              </w:rPr>
            </w:pPr>
            <w:r w:rsidRPr="001F5ECC">
              <w:rPr>
                <w:sz w:val="16"/>
                <w:szCs w:val="16"/>
              </w:rPr>
              <w:t>Durability</w:t>
            </w:r>
          </w:p>
        </w:tc>
        <w:tc>
          <w:tcPr>
            <w:tcW w:w="992" w:type="dxa"/>
            <w:vMerge w:val="restart"/>
            <w:tcBorders>
              <w:top w:val="single" w:sz="4" w:space="0" w:color="auto"/>
              <w:left w:val="nil"/>
              <w:right w:val="nil"/>
            </w:tcBorders>
            <w:vAlign w:val="center"/>
          </w:tcPr>
          <w:p w14:paraId="4C0E8A3E" w14:textId="77777777" w:rsidR="001110B7" w:rsidRPr="001F5ECC" w:rsidRDefault="001110B7" w:rsidP="00F668C6">
            <w:pPr>
              <w:autoSpaceDE w:val="0"/>
              <w:autoSpaceDN w:val="0"/>
              <w:adjustRightInd w:val="0"/>
              <w:spacing w:before="60" w:after="60"/>
              <w:jc w:val="both"/>
              <w:rPr>
                <w:sz w:val="16"/>
                <w:szCs w:val="16"/>
              </w:rPr>
            </w:pPr>
            <w:r w:rsidRPr="001F5ECC">
              <w:rPr>
                <w:sz w:val="16"/>
                <w:szCs w:val="16"/>
              </w:rPr>
              <w:t>ISSI</w:t>
            </w:r>
          </w:p>
        </w:tc>
        <w:tc>
          <w:tcPr>
            <w:tcW w:w="1417" w:type="dxa"/>
            <w:tcBorders>
              <w:top w:val="single" w:sz="4" w:space="0" w:color="auto"/>
              <w:left w:val="nil"/>
              <w:bottom w:val="single" w:sz="4" w:space="0" w:color="auto"/>
              <w:right w:val="nil"/>
            </w:tcBorders>
            <w:shd w:val="clear" w:color="auto" w:fill="auto"/>
            <w:vAlign w:val="center"/>
          </w:tcPr>
          <w:p w14:paraId="64DA5259" w14:textId="77777777" w:rsidR="001110B7" w:rsidRPr="001F5ECC" w:rsidRDefault="001110B7" w:rsidP="00F668C6">
            <w:pPr>
              <w:autoSpaceDE w:val="0"/>
              <w:autoSpaceDN w:val="0"/>
              <w:adjustRightInd w:val="0"/>
              <w:spacing w:before="60" w:after="60"/>
              <w:jc w:val="both"/>
              <w:rPr>
                <w:rFonts w:cs="Verdana"/>
                <w:sz w:val="16"/>
                <w:szCs w:val="16"/>
                <w:lang w:eastAsia="es-ES"/>
              </w:rPr>
            </w:pPr>
            <w:proofErr w:type="spellStart"/>
            <w:r w:rsidRPr="001F5ECC">
              <w:rPr>
                <w:sz w:val="16"/>
                <w:szCs w:val="16"/>
              </w:rPr>
              <w:t>Desulphurized</w:t>
            </w:r>
            <w:proofErr w:type="spellEnd"/>
            <w:r w:rsidRPr="001F5ECC">
              <w:rPr>
                <w:sz w:val="16"/>
                <w:szCs w:val="16"/>
              </w:rPr>
              <w:t xml:space="preserve"> (&lt;100 ppm) raw biogas</w:t>
            </w:r>
          </w:p>
        </w:tc>
        <w:tc>
          <w:tcPr>
            <w:tcW w:w="2835" w:type="dxa"/>
            <w:tcBorders>
              <w:top w:val="single" w:sz="4" w:space="0" w:color="auto"/>
              <w:left w:val="nil"/>
              <w:bottom w:val="single" w:sz="4" w:space="0" w:color="auto"/>
              <w:right w:val="nil"/>
            </w:tcBorders>
            <w:vAlign w:val="center"/>
          </w:tcPr>
          <w:p w14:paraId="26961AC4" w14:textId="77777777" w:rsidR="001110B7" w:rsidRPr="001F5ECC" w:rsidRDefault="001110B7" w:rsidP="00F668C6">
            <w:pPr>
              <w:pStyle w:val="ListParagraph"/>
              <w:numPr>
                <w:ilvl w:val="3"/>
                <w:numId w:val="11"/>
              </w:numPr>
              <w:autoSpaceDE w:val="0"/>
              <w:autoSpaceDN w:val="0"/>
              <w:adjustRightInd w:val="0"/>
              <w:spacing w:before="60" w:after="60"/>
              <w:ind w:left="142" w:hanging="142"/>
              <w:contextualSpacing w:val="0"/>
              <w:jc w:val="both"/>
              <w:rPr>
                <w:sz w:val="16"/>
                <w:szCs w:val="16"/>
                <w:lang w:val="en-GB"/>
              </w:rPr>
            </w:pPr>
            <w:r w:rsidRPr="001F5ECC">
              <w:rPr>
                <w:sz w:val="16"/>
                <w:szCs w:val="16"/>
                <w:lang w:val="en-GB"/>
              </w:rPr>
              <w:t xml:space="preserve">Technology: </w:t>
            </w:r>
            <w:r>
              <w:rPr>
                <w:sz w:val="16"/>
                <w:szCs w:val="16"/>
                <w:lang w:val="en-GB"/>
              </w:rPr>
              <w:t>D</w:t>
            </w:r>
            <w:r w:rsidRPr="001420FC">
              <w:rPr>
                <w:sz w:val="16"/>
                <w:szCs w:val="16"/>
                <w:lang w:val="en-GB"/>
              </w:rPr>
              <w:t>iaphragm, domestic USM, thermal mass flow</w:t>
            </w:r>
          </w:p>
          <w:p w14:paraId="678DA366" w14:textId="77777777" w:rsidR="001110B7" w:rsidRPr="001420FC" w:rsidRDefault="001110B7" w:rsidP="00F668C6">
            <w:pPr>
              <w:pStyle w:val="ListParagraph"/>
              <w:numPr>
                <w:ilvl w:val="3"/>
                <w:numId w:val="11"/>
              </w:numPr>
              <w:autoSpaceDE w:val="0"/>
              <w:autoSpaceDN w:val="0"/>
              <w:adjustRightInd w:val="0"/>
              <w:spacing w:before="60" w:after="60"/>
              <w:ind w:left="142" w:hanging="142"/>
              <w:contextualSpacing w:val="0"/>
              <w:jc w:val="both"/>
              <w:rPr>
                <w:sz w:val="16"/>
                <w:szCs w:val="16"/>
                <w:lang w:val="en-GB"/>
              </w:rPr>
            </w:pPr>
            <w:r w:rsidRPr="001F5ECC">
              <w:rPr>
                <w:sz w:val="16"/>
                <w:szCs w:val="16"/>
                <w:lang w:val="en-GB"/>
              </w:rPr>
              <w:t>Model: D</w:t>
            </w:r>
            <w:r>
              <w:rPr>
                <w:sz w:val="16"/>
                <w:szCs w:val="16"/>
                <w:lang w:val="en-GB"/>
              </w:rPr>
              <w:t>omestic G4</w:t>
            </w:r>
          </w:p>
        </w:tc>
        <w:tc>
          <w:tcPr>
            <w:tcW w:w="1134" w:type="dxa"/>
            <w:vMerge w:val="restart"/>
            <w:tcBorders>
              <w:top w:val="single" w:sz="4" w:space="0" w:color="auto"/>
              <w:left w:val="nil"/>
              <w:right w:val="nil"/>
            </w:tcBorders>
            <w:vAlign w:val="center"/>
          </w:tcPr>
          <w:p w14:paraId="3FC263DC" w14:textId="77777777" w:rsidR="001110B7" w:rsidRPr="001420FC" w:rsidRDefault="001110B7" w:rsidP="00F668C6">
            <w:pPr>
              <w:autoSpaceDE w:val="0"/>
              <w:autoSpaceDN w:val="0"/>
              <w:adjustRightInd w:val="0"/>
              <w:spacing w:before="60" w:after="60"/>
              <w:jc w:val="both"/>
              <w:rPr>
                <w:sz w:val="16"/>
                <w:szCs w:val="16"/>
              </w:rPr>
            </w:pPr>
            <w:proofErr w:type="spellStart"/>
            <w:r>
              <w:rPr>
                <w:sz w:val="16"/>
                <w:szCs w:val="16"/>
              </w:rPr>
              <w:t>Atm</w:t>
            </w:r>
            <w:proofErr w:type="spellEnd"/>
          </w:p>
        </w:tc>
        <w:tc>
          <w:tcPr>
            <w:tcW w:w="1701" w:type="dxa"/>
            <w:tcBorders>
              <w:top w:val="single" w:sz="4" w:space="0" w:color="auto"/>
              <w:left w:val="nil"/>
              <w:bottom w:val="single" w:sz="4" w:space="0" w:color="auto"/>
              <w:right w:val="nil"/>
            </w:tcBorders>
            <w:vAlign w:val="center"/>
          </w:tcPr>
          <w:p w14:paraId="1F7DC6AA" w14:textId="77777777" w:rsidR="001110B7" w:rsidRPr="001420FC" w:rsidRDefault="001110B7" w:rsidP="00F668C6">
            <w:pPr>
              <w:autoSpaceDE w:val="0"/>
              <w:autoSpaceDN w:val="0"/>
              <w:adjustRightInd w:val="0"/>
              <w:spacing w:before="60" w:after="60"/>
              <w:jc w:val="both"/>
              <w:rPr>
                <w:sz w:val="16"/>
                <w:szCs w:val="16"/>
              </w:rPr>
            </w:pPr>
            <w:r>
              <w:rPr>
                <w:sz w:val="16"/>
                <w:szCs w:val="16"/>
              </w:rPr>
              <w:t>-</w:t>
            </w:r>
          </w:p>
        </w:tc>
        <w:tc>
          <w:tcPr>
            <w:tcW w:w="4110" w:type="dxa"/>
            <w:tcBorders>
              <w:top w:val="single" w:sz="4" w:space="0" w:color="auto"/>
              <w:left w:val="nil"/>
              <w:bottom w:val="single" w:sz="4" w:space="0" w:color="auto"/>
              <w:right w:val="nil"/>
            </w:tcBorders>
            <w:vAlign w:val="center"/>
          </w:tcPr>
          <w:p w14:paraId="373B3622" w14:textId="77777777" w:rsidR="001110B7" w:rsidRDefault="001110B7" w:rsidP="00F668C6">
            <w:pPr>
              <w:pStyle w:val="ListParagraph"/>
              <w:numPr>
                <w:ilvl w:val="0"/>
                <w:numId w:val="12"/>
              </w:numPr>
              <w:autoSpaceDE w:val="0"/>
              <w:autoSpaceDN w:val="0"/>
              <w:adjustRightInd w:val="0"/>
              <w:spacing w:before="60" w:after="60"/>
              <w:ind w:left="142" w:hanging="142"/>
              <w:contextualSpacing w:val="0"/>
              <w:jc w:val="both"/>
              <w:rPr>
                <w:sz w:val="16"/>
                <w:szCs w:val="16"/>
                <w:lang w:val="en-GB"/>
              </w:rPr>
            </w:pPr>
            <w:r w:rsidRPr="001420FC">
              <w:rPr>
                <w:sz w:val="16"/>
                <w:szCs w:val="16"/>
                <w:lang w:val="en-GB"/>
              </w:rPr>
              <w:t>Tests from September 2020 to September 2021</w:t>
            </w:r>
            <w:r>
              <w:rPr>
                <w:sz w:val="16"/>
                <w:szCs w:val="16"/>
                <w:lang w:val="en-GB"/>
              </w:rPr>
              <w:t>.</w:t>
            </w:r>
          </w:p>
          <w:p w14:paraId="7598900A" w14:textId="77777777" w:rsidR="001110B7" w:rsidRPr="001420FC" w:rsidRDefault="001110B7" w:rsidP="00F668C6">
            <w:pPr>
              <w:pStyle w:val="ListParagraph"/>
              <w:numPr>
                <w:ilvl w:val="0"/>
                <w:numId w:val="12"/>
              </w:numPr>
              <w:autoSpaceDE w:val="0"/>
              <w:autoSpaceDN w:val="0"/>
              <w:adjustRightInd w:val="0"/>
              <w:spacing w:before="60" w:after="60"/>
              <w:ind w:left="142" w:hanging="142"/>
              <w:contextualSpacing w:val="0"/>
              <w:jc w:val="both"/>
              <w:rPr>
                <w:sz w:val="16"/>
                <w:szCs w:val="16"/>
                <w:lang w:val="en-GB"/>
              </w:rPr>
            </w:pPr>
            <w:r>
              <w:rPr>
                <w:sz w:val="16"/>
                <w:szCs w:val="16"/>
                <w:lang w:val="en-GB"/>
              </w:rPr>
              <w:t>Meters exposed to biogas flow.</w:t>
            </w:r>
          </w:p>
        </w:tc>
      </w:tr>
      <w:tr w:rsidR="001110B7" w:rsidRPr="009E260C" w14:paraId="35106DD3" w14:textId="77777777" w:rsidTr="00B26C13">
        <w:trPr>
          <w:trHeight w:val="283"/>
          <w:jc w:val="center"/>
        </w:trPr>
        <w:tc>
          <w:tcPr>
            <w:tcW w:w="1274" w:type="dxa"/>
            <w:vMerge/>
            <w:tcBorders>
              <w:left w:val="nil"/>
              <w:right w:val="nil"/>
            </w:tcBorders>
            <w:shd w:val="clear" w:color="auto" w:fill="auto"/>
            <w:vAlign w:val="center"/>
          </w:tcPr>
          <w:p w14:paraId="7A141C90" w14:textId="77777777" w:rsidR="001110B7" w:rsidRPr="001F5ECC" w:rsidRDefault="001110B7" w:rsidP="00F668C6">
            <w:pPr>
              <w:autoSpaceDE w:val="0"/>
              <w:autoSpaceDN w:val="0"/>
              <w:adjustRightInd w:val="0"/>
              <w:spacing w:before="60" w:after="60"/>
              <w:jc w:val="both"/>
              <w:rPr>
                <w:b/>
                <w:bCs/>
                <w:sz w:val="16"/>
                <w:szCs w:val="16"/>
              </w:rPr>
            </w:pPr>
          </w:p>
        </w:tc>
        <w:tc>
          <w:tcPr>
            <w:tcW w:w="992" w:type="dxa"/>
            <w:vMerge/>
            <w:tcBorders>
              <w:left w:val="nil"/>
              <w:bottom w:val="single" w:sz="4" w:space="0" w:color="auto"/>
              <w:right w:val="nil"/>
            </w:tcBorders>
            <w:vAlign w:val="center"/>
          </w:tcPr>
          <w:p w14:paraId="7098B439" w14:textId="77777777" w:rsidR="001110B7" w:rsidRPr="001F5ECC" w:rsidRDefault="001110B7" w:rsidP="00F668C6">
            <w:pPr>
              <w:autoSpaceDE w:val="0"/>
              <w:autoSpaceDN w:val="0"/>
              <w:adjustRightInd w:val="0"/>
              <w:spacing w:before="60" w:after="60"/>
              <w:jc w:val="both"/>
              <w:rPr>
                <w:sz w:val="16"/>
                <w:szCs w:val="16"/>
              </w:rPr>
            </w:pPr>
          </w:p>
        </w:tc>
        <w:tc>
          <w:tcPr>
            <w:tcW w:w="1417" w:type="dxa"/>
            <w:tcBorders>
              <w:top w:val="single" w:sz="4" w:space="0" w:color="auto"/>
              <w:left w:val="nil"/>
              <w:bottom w:val="single" w:sz="4" w:space="0" w:color="auto"/>
              <w:right w:val="nil"/>
            </w:tcBorders>
            <w:shd w:val="clear" w:color="auto" w:fill="auto"/>
            <w:vAlign w:val="center"/>
          </w:tcPr>
          <w:p w14:paraId="2D46EEE9" w14:textId="77777777" w:rsidR="001110B7" w:rsidRPr="001F5ECC" w:rsidRDefault="001110B7" w:rsidP="00F668C6">
            <w:pPr>
              <w:autoSpaceDE w:val="0"/>
              <w:autoSpaceDN w:val="0"/>
              <w:adjustRightInd w:val="0"/>
              <w:spacing w:before="60" w:after="60"/>
              <w:jc w:val="both"/>
              <w:rPr>
                <w:rFonts w:cs="Verdana"/>
                <w:sz w:val="16"/>
                <w:szCs w:val="16"/>
                <w:lang w:eastAsia="es-ES"/>
              </w:rPr>
            </w:pPr>
            <w:r>
              <w:rPr>
                <w:sz w:val="16"/>
                <w:szCs w:val="16"/>
              </w:rPr>
              <w:t>P</w:t>
            </w:r>
            <w:r w:rsidRPr="001F5ECC">
              <w:rPr>
                <w:sz w:val="16"/>
                <w:szCs w:val="16"/>
              </w:rPr>
              <w:t>ure hydrogen</w:t>
            </w:r>
          </w:p>
        </w:tc>
        <w:tc>
          <w:tcPr>
            <w:tcW w:w="2835" w:type="dxa"/>
            <w:tcBorders>
              <w:top w:val="single" w:sz="4" w:space="0" w:color="auto"/>
              <w:left w:val="nil"/>
              <w:bottom w:val="single" w:sz="4" w:space="0" w:color="auto"/>
              <w:right w:val="nil"/>
            </w:tcBorders>
            <w:vAlign w:val="center"/>
          </w:tcPr>
          <w:p w14:paraId="15483265" w14:textId="77777777" w:rsidR="001110B7" w:rsidRPr="001F5ECC" w:rsidRDefault="001110B7" w:rsidP="00F668C6">
            <w:pPr>
              <w:pStyle w:val="ListParagraph"/>
              <w:numPr>
                <w:ilvl w:val="3"/>
                <w:numId w:val="11"/>
              </w:numPr>
              <w:autoSpaceDE w:val="0"/>
              <w:autoSpaceDN w:val="0"/>
              <w:adjustRightInd w:val="0"/>
              <w:spacing w:before="60" w:after="60"/>
              <w:ind w:left="142" w:hanging="142"/>
              <w:contextualSpacing w:val="0"/>
              <w:jc w:val="both"/>
              <w:rPr>
                <w:sz w:val="16"/>
                <w:szCs w:val="16"/>
                <w:lang w:val="en-GB"/>
              </w:rPr>
            </w:pPr>
            <w:r w:rsidRPr="001F5ECC">
              <w:rPr>
                <w:sz w:val="16"/>
                <w:szCs w:val="16"/>
                <w:lang w:val="en-GB"/>
              </w:rPr>
              <w:t xml:space="preserve">Technology: </w:t>
            </w:r>
            <w:r>
              <w:rPr>
                <w:sz w:val="16"/>
                <w:szCs w:val="16"/>
                <w:lang w:val="en-GB"/>
              </w:rPr>
              <w:t>D</w:t>
            </w:r>
            <w:r w:rsidRPr="001420FC">
              <w:rPr>
                <w:sz w:val="16"/>
                <w:szCs w:val="16"/>
                <w:lang w:val="en-GB"/>
              </w:rPr>
              <w:t>iaphragm, thermal mass flow</w:t>
            </w:r>
          </w:p>
          <w:p w14:paraId="0DC206B0" w14:textId="77777777" w:rsidR="001110B7" w:rsidRPr="001420FC" w:rsidRDefault="001110B7" w:rsidP="00F668C6">
            <w:pPr>
              <w:pStyle w:val="ListParagraph"/>
              <w:numPr>
                <w:ilvl w:val="3"/>
                <w:numId w:val="11"/>
              </w:numPr>
              <w:autoSpaceDE w:val="0"/>
              <w:autoSpaceDN w:val="0"/>
              <w:adjustRightInd w:val="0"/>
              <w:spacing w:before="60" w:after="60"/>
              <w:ind w:left="142" w:hanging="142"/>
              <w:contextualSpacing w:val="0"/>
              <w:jc w:val="both"/>
              <w:rPr>
                <w:sz w:val="16"/>
                <w:szCs w:val="16"/>
                <w:lang w:val="en-GB"/>
              </w:rPr>
            </w:pPr>
            <w:r>
              <w:rPr>
                <w:sz w:val="16"/>
                <w:szCs w:val="16"/>
                <w:lang w:val="en-GB"/>
              </w:rPr>
              <w:t>Model: Domestic G4</w:t>
            </w:r>
          </w:p>
        </w:tc>
        <w:tc>
          <w:tcPr>
            <w:tcW w:w="1134" w:type="dxa"/>
            <w:vMerge/>
            <w:tcBorders>
              <w:left w:val="nil"/>
              <w:bottom w:val="single" w:sz="4" w:space="0" w:color="auto"/>
              <w:right w:val="nil"/>
            </w:tcBorders>
            <w:vAlign w:val="center"/>
          </w:tcPr>
          <w:p w14:paraId="6787580A" w14:textId="77777777" w:rsidR="001110B7" w:rsidRPr="001F5ECC" w:rsidRDefault="001110B7" w:rsidP="00F668C6">
            <w:pPr>
              <w:autoSpaceDE w:val="0"/>
              <w:autoSpaceDN w:val="0"/>
              <w:adjustRightInd w:val="0"/>
              <w:spacing w:before="60" w:after="60"/>
              <w:jc w:val="both"/>
              <w:rPr>
                <w:sz w:val="16"/>
                <w:szCs w:val="16"/>
              </w:rPr>
            </w:pPr>
          </w:p>
        </w:tc>
        <w:tc>
          <w:tcPr>
            <w:tcW w:w="1701" w:type="dxa"/>
            <w:tcBorders>
              <w:top w:val="single" w:sz="4" w:space="0" w:color="auto"/>
              <w:left w:val="nil"/>
              <w:bottom w:val="single" w:sz="4" w:space="0" w:color="auto"/>
              <w:right w:val="nil"/>
            </w:tcBorders>
            <w:vAlign w:val="center"/>
          </w:tcPr>
          <w:p w14:paraId="4E496A1F" w14:textId="77777777" w:rsidR="001110B7" w:rsidRPr="001F5ECC" w:rsidRDefault="001110B7" w:rsidP="00F668C6">
            <w:pPr>
              <w:autoSpaceDE w:val="0"/>
              <w:autoSpaceDN w:val="0"/>
              <w:adjustRightInd w:val="0"/>
              <w:spacing w:before="60" w:after="60"/>
              <w:jc w:val="both"/>
              <w:rPr>
                <w:sz w:val="16"/>
                <w:szCs w:val="16"/>
              </w:rPr>
            </w:pPr>
            <w:r>
              <w:rPr>
                <w:sz w:val="16"/>
                <w:szCs w:val="16"/>
              </w:rPr>
              <w:t>-</w:t>
            </w:r>
          </w:p>
        </w:tc>
        <w:tc>
          <w:tcPr>
            <w:tcW w:w="4110" w:type="dxa"/>
            <w:tcBorders>
              <w:top w:val="single" w:sz="4" w:space="0" w:color="auto"/>
              <w:left w:val="nil"/>
              <w:bottom w:val="single" w:sz="4" w:space="0" w:color="auto"/>
              <w:right w:val="nil"/>
            </w:tcBorders>
            <w:vAlign w:val="center"/>
          </w:tcPr>
          <w:p w14:paraId="71791614" w14:textId="77777777" w:rsidR="001110B7" w:rsidRDefault="001110B7" w:rsidP="00F668C6">
            <w:pPr>
              <w:pStyle w:val="ListParagraph"/>
              <w:numPr>
                <w:ilvl w:val="0"/>
                <w:numId w:val="12"/>
              </w:numPr>
              <w:autoSpaceDE w:val="0"/>
              <w:autoSpaceDN w:val="0"/>
              <w:adjustRightInd w:val="0"/>
              <w:spacing w:before="60" w:after="60"/>
              <w:ind w:left="142" w:hanging="142"/>
              <w:contextualSpacing w:val="0"/>
              <w:jc w:val="both"/>
              <w:rPr>
                <w:sz w:val="16"/>
                <w:szCs w:val="16"/>
                <w:lang w:val="en-GB"/>
              </w:rPr>
            </w:pPr>
            <w:r w:rsidRPr="001420FC">
              <w:rPr>
                <w:sz w:val="16"/>
                <w:szCs w:val="16"/>
                <w:lang w:val="en-GB"/>
              </w:rPr>
              <w:t>Tests from September 2020 to September 2021</w:t>
            </w:r>
            <w:r>
              <w:rPr>
                <w:sz w:val="16"/>
                <w:szCs w:val="16"/>
                <w:lang w:val="en-GB"/>
              </w:rPr>
              <w:t>.</w:t>
            </w:r>
          </w:p>
          <w:p w14:paraId="4D50EFE8" w14:textId="77777777" w:rsidR="001110B7" w:rsidRPr="001420FC" w:rsidRDefault="001110B7" w:rsidP="00F668C6">
            <w:pPr>
              <w:pStyle w:val="ListParagraph"/>
              <w:numPr>
                <w:ilvl w:val="0"/>
                <w:numId w:val="12"/>
              </w:numPr>
              <w:autoSpaceDE w:val="0"/>
              <w:autoSpaceDN w:val="0"/>
              <w:adjustRightInd w:val="0"/>
              <w:spacing w:before="60" w:after="60"/>
              <w:ind w:left="142" w:hanging="142"/>
              <w:contextualSpacing w:val="0"/>
              <w:jc w:val="both"/>
              <w:rPr>
                <w:sz w:val="16"/>
                <w:szCs w:val="16"/>
                <w:lang w:val="en-GB"/>
              </w:rPr>
            </w:pPr>
            <w:r w:rsidRPr="001420FC">
              <w:rPr>
                <w:sz w:val="16"/>
                <w:szCs w:val="16"/>
                <w:lang w:val="en-GB"/>
              </w:rPr>
              <w:t>Hydrogen exposure in static conditions</w:t>
            </w:r>
            <w:r>
              <w:rPr>
                <w:sz w:val="16"/>
                <w:szCs w:val="16"/>
                <w:lang w:val="en-GB"/>
              </w:rPr>
              <w:t>.</w:t>
            </w:r>
          </w:p>
        </w:tc>
      </w:tr>
      <w:tr w:rsidR="001110B7" w:rsidRPr="009E260C" w14:paraId="5256D148" w14:textId="77777777" w:rsidTr="00B26C13">
        <w:trPr>
          <w:trHeight w:val="283"/>
          <w:jc w:val="center"/>
        </w:trPr>
        <w:tc>
          <w:tcPr>
            <w:tcW w:w="1274" w:type="dxa"/>
            <w:vMerge/>
            <w:tcBorders>
              <w:left w:val="nil"/>
              <w:bottom w:val="single" w:sz="12" w:space="0" w:color="auto"/>
              <w:right w:val="nil"/>
            </w:tcBorders>
            <w:shd w:val="clear" w:color="auto" w:fill="auto"/>
            <w:vAlign w:val="center"/>
          </w:tcPr>
          <w:p w14:paraId="525209A0" w14:textId="77777777" w:rsidR="001110B7" w:rsidRPr="001F5ECC" w:rsidRDefault="001110B7" w:rsidP="00F668C6">
            <w:pPr>
              <w:autoSpaceDE w:val="0"/>
              <w:autoSpaceDN w:val="0"/>
              <w:adjustRightInd w:val="0"/>
              <w:spacing w:before="60" w:after="60"/>
              <w:jc w:val="both"/>
              <w:rPr>
                <w:b/>
                <w:bCs/>
                <w:sz w:val="16"/>
                <w:szCs w:val="16"/>
              </w:rPr>
            </w:pPr>
          </w:p>
        </w:tc>
        <w:tc>
          <w:tcPr>
            <w:tcW w:w="992" w:type="dxa"/>
            <w:tcBorders>
              <w:top w:val="single" w:sz="4" w:space="0" w:color="auto"/>
              <w:left w:val="nil"/>
              <w:bottom w:val="single" w:sz="12" w:space="0" w:color="auto"/>
              <w:right w:val="nil"/>
            </w:tcBorders>
            <w:vAlign w:val="center"/>
          </w:tcPr>
          <w:p w14:paraId="30480E07" w14:textId="77777777" w:rsidR="001110B7" w:rsidRPr="001F5ECC" w:rsidRDefault="001110B7" w:rsidP="00F668C6">
            <w:pPr>
              <w:autoSpaceDE w:val="0"/>
              <w:autoSpaceDN w:val="0"/>
              <w:adjustRightInd w:val="0"/>
              <w:spacing w:before="60" w:after="60"/>
              <w:jc w:val="both"/>
              <w:rPr>
                <w:sz w:val="16"/>
                <w:szCs w:val="16"/>
              </w:rPr>
            </w:pPr>
            <w:r w:rsidRPr="001F5ECC">
              <w:rPr>
                <w:sz w:val="16"/>
                <w:szCs w:val="16"/>
              </w:rPr>
              <w:t>PTB</w:t>
            </w:r>
          </w:p>
        </w:tc>
        <w:tc>
          <w:tcPr>
            <w:tcW w:w="1417" w:type="dxa"/>
            <w:tcBorders>
              <w:top w:val="single" w:sz="4" w:space="0" w:color="auto"/>
              <w:left w:val="nil"/>
              <w:bottom w:val="single" w:sz="12" w:space="0" w:color="auto"/>
              <w:right w:val="nil"/>
            </w:tcBorders>
            <w:shd w:val="clear" w:color="auto" w:fill="auto"/>
            <w:vAlign w:val="center"/>
          </w:tcPr>
          <w:p w14:paraId="574EE048" w14:textId="77777777" w:rsidR="001110B7" w:rsidRPr="001F5ECC" w:rsidRDefault="001110B7" w:rsidP="00F668C6">
            <w:pPr>
              <w:autoSpaceDE w:val="0"/>
              <w:autoSpaceDN w:val="0"/>
              <w:adjustRightInd w:val="0"/>
              <w:spacing w:before="60" w:after="60"/>
              <w:jc w:val="both"/>
              <w:rPr>
                <w:rFonts w:cs="Verdana"/>
                <w:sz w:val="16"/>
                <w:szCs w:val="16"/>
                <w:lang w:eastAsia="es-ES"/>
              </w:rPr>
            </w:pPr>
            <w:r>
              <w:rPr>
                <w:sz w:val="16"/>
                <w:szCs w:val="16"/>
              </w:rPr>
              <w:t>P</w:t>
            </w:r>
            <w:r w:rsidRPr="001F5ECC">
              <w:rPr>
                <w:sz w:val="16"/>
                <w:szCs w:val="16"/>
              </w:rPr>
              <w:t>ure hydrogen</w:t>
            </w:r>
          </w:p>
        </w:tc>
        <w:tc>
          <w:tcPr>
            <w:tcW w:w="2835" w:type="dxa"/>
            <w:tcBorders>
              <w:top w:val="single" w:sz="4" w:space="0" w:color="auto"/>
              <w:left w:val="nil"/>
              <w:bottom w:val="single" w:sz="12" w:space="0" w:color="auto"/>
              <w:right w:val="nil"/>
            </w:tcBorders>
            <w:vAlign w:val="center"/>
          </w:tcPr>
          <w:p w14:paraId="07FF1DC6" w14:textId="77777777" w:rsidR="001110B7" w:rsidRPr="001F5ECC" w:rsidRDefault="001110B7" w:rsidP="00F668C6">
            <w:pPr>
              <w:pStyle w:val="ListParagraph"/>
              <w:numPr>
                <w:ilvl w:val="3"/>
                <w:numId w:val="11"/>
              </w:numPr>
              <w:autoSpaceDE w:val="0"/>
              <w:autoSpaceDN w:val="0"/>
              <w:adjustRightInd w:val="0"/>
              <w:spacing w:before="60" w:after="60"/>
              <w:ind w:left="142" w:hanging="142"/>
              <w:contextualSpacing w:val="0"/>
              <w:jc w:val="both"/>
              <w:rPr>
                <w:sz w:val="16"/>
                <w:szCs w:val="16"/>
                <w:lang w:val="en-GB"/>
              </w:rPr>
            </w:pPr>
            <w:r w:rsidRPr="001F5ECC">
              <w:rPr>
                <w:sz w:val="16"/>
                <w:szCs w:val="16"/>
                <w:lang w:val="en-GB"/>
              </w:rPr>
              <w:t xml:space="preserve">Technology: </w:t>
            </w:r>
            <w:r>
              <w:rPr>
                <w:sz w:val="16"/>
                <w:szCs w:val="16"/>
                <w:lang w:val="en-GB"/>
              </w:rPr>
              <w:t>D</w:t>
            </w:r>
            <w:r w:rsidRPr="001420FC">
              <w:rPr>
                <w:sz w:val="16"/>
                <w:szCs w:val="16"/>
                <w:lang w:val="en-GB"/>
              </w:rPr>
              <w:t>iaphragm, thermal mass flow</w:t>
            </w:r>
          </w:p>
          <w:p w14:paraId="6125F2D2" w14:textId="77777777" w:rsidR="001110B7" w:rsidRPr="001F5ECC" w:rsidRDefault="001110B7" w:rsidP="00F668C6">
            <w:pPr>
              <w:pStyle w:val="ListParagraph"/>
              <w:numPr>
                <w:ilvl w:val="3"/>
                <w:numId w:val="11"/>
              </w:numPr>
              <w:autoSpaceDE w:val="0"/>
              <w:autoSpaceDN w:val="0"/>
              <w:adjustRightInd w:val="0"/>
              <w:spacing w:before="60" w:after="60"/>
              <w:ind w:left="142" w:hanging="142"/>
              <w:contextualSpacing w:val="0"/>
              <w:jc w:val="both"/>
              <w:rPr>
                <w:sz w:val="16"/>
                <w:szCs w:val="16"/>
              </w:rPr>
            </w:pPr>
            <w:r>
              <w:rPr>
                <w:sz w:val="16"/>
                <w:szCs w:val="16"/>
                <w:lang w:val="en-GB"/>
              </w:rPr>
              <w:t>Model: Domestic: G4</w:t>
            </w:r>
          </w:p>
        </w:tc>
        <w:tc>
          <w:tcPr>
            <w:tcW w:w="1134" w:type="dxa"/>
            <w:tcBorders>
              <w:top w:val="single" w:sz="4" w:space="0" w:color="auto"/>
              <w:left w:val="nil"/>
              <w:bottom w:val="single" w:sz="12" w:space="0" w:color="auto"/>
              <w:right w:val="nil"/>
            </w:tcBorders>
            <w:vAlign w:val="center"/>
          </w:tcPr>
          <w:p w14:paraId="07E13D7B" w14:textId="77777777" w:rsidR="001110B7" w:rsidRPr="001F5ECC" w:rsidRDefault="001110B7" w:rsidP="00F668C6">
            <w:pPr>
              <w:autoSpaceDE w:val="0"/>
              <w:autoSpaceDN w:val="0"/>
              <w:adjustRightInd w:val="0"/>
              <w:spacing w:before="60" w:after="60"/>
              <w:jc w:val="both"/>
              <w:rPr>
                <w:sz w:val="16"/>
                <w:szCs w:val="16"/>
              </w:rPr>
            </w:pPr>
            <w:proofErr w:type="spellStart"/>
            <w:r>
              <w:rPr>
                <w:sz w:val="16"/>
                <w:szCs w:val="16"/>
              </w:rPr>
              <w:t>Atm</w:t>
            </w:r>
            <w:proofErr w:type="spellEnd"/>
          </w:p>
        </w:tc>
        <w:tc>
          <w:tcPr>
            <w:tcW w:w="1701" w:type="dxa"/>
            <w:tcBorders>
              <w:top w:val="single" w:sz="4" w:space="0" w:color="auto"/>
              <w:left w:val="nil"/>
              <w:bottom w:val="single" w:sz="12" w:space="0" w:color="auto"/>
              <w:right w:val="nil"/>
            </w:tcBorders>
            <w:vAlign w:val="center"/>
          </w:tcPr>
          <w:p w14:paraId="67004D55" w14:textId="77777777" w:rsidR="001110B7" w:rsidRPr="001F5ECC" w:rsidRDefault="001110B7" w:rsidP="00F668C6">
            <w:pPr>
              <w:autoSpaceDE w:val="0"/>
              <w:autoSpaceDN w:val="0"/>
              <w:adjustRightInd w:val="0"/>
              <w:spacing w:before="60" w:after="60"/>
              <w:jc w:val="both"/>
              <w:rPr>
                <w:sz w:val="16"/>
                <w:szCs w:val="16"/>
              </w:rPr>
            </w:pPr>
            <w:r>
              <w:rPr>
                <w:sz w:val="16"/>
                <w:szCs w:val="16"/>
              </w:rPr>
              <w:t>-</w:t>
            </w:r>
          </w:p>
        </w:tc>
        <w:tc>
          <w:tcPr>
            <w:tcW w:w="4110" w:type="dxa"/>
            <w:tcBorders>
              <w:top w:val="single" w:sz="4" w:space="0" w:color="auto"/>
              <w:left w:val="nil"/>
              <w:bottom w:val="single" w:sz="12" w:space="0" w:color="auto"/>
              <w:right w:val="nil"/>
            </w:tcBorders>
            <w:vAlign w:val="center"/>
          </w:tcPr>
          <w:p w14:paraId="11A391D2" w14:textId="77777777" w:rsidR="001110B7" w:rsidRDefault="001110B7" w:rsidP="00F668C6">
            <w:pPr>
              <w:pStyle w:val="ListParagraph"/>
              <w:numPr>
                <w:ilvl w:val="0"/>
                <w:numId w:val="12"/>
              </w:numPr>
              <w:autoSpaceDE w:val="0"/>
              <w:autoSpaceDN w:val="0"/>
              <w:adjustRightInd w:val="0"/>
              <w:spacing w:before="60" w:after="60"/>
              <w:ind w:left="142" w:hanging="142"/>
              <w:contextualSpacing w:val="0"/>
              <w:jc w:val="both"/>
              <w:rPr>
                <w:sz w:val="16"/>
                <w:szCs w:val="16"/>
                <w:lang w:val="en-GB"/>
              </w:rPr>
            </w:pPr>
            <w:r w:rsidRPr="001420FC">
              <w:rPr>
                <w:sz w:val="16"/>
                <w:szCs w:val="16"/>
                <w:lang w:val="en-GB"/>
              </w:rPr>
              <w:t xml:space="preserve">Tests from </w:t>
            </w:r>
            <w:r>
              <w:rPr>
                <w:sz w:val="16"/>
                <w:szCs w:val="16"/>
                <w:lang w:val="en-GB"/>
              </w:rPr>
              <w:t>July</w:t>
            </w:r>
            <w:r w:rsidRPr="001420FC">
              <w:rPr>
                <w:sz w:val="16"/>
                <w:szCs w:val="16"/>
                <w:lang w:val="en-GB"/>
              </w:rPr>
              <w:t xml:space="preserve"> 2020 </w:t>
            </w:r>
            <w:r>
              <w:rPr>
                <w:sz w:val="16"/>
                <w:szCs w:val="16"/>
                <w:lang w:val="en-GB"/>
              </w:rPr>
              <w:t xml:space="preserve">up </w:t>
            </w:r>
            <w:r w:rsidRPr="001420FC">
              <w:rPr>
                <w:sz w:val="16"/>
                <w:szCs w:val="16"/>
                <w:lang w:val="en-GB"/>
              </w:rPr>
              <w:t xml:space="preserve">to </w:t>
            </w:r>
            <w:r>
              <w:rPr>
                <w:sz w:val="16"/>
                <w:szCs w:val="16"/>
                <w:lang w:val="en-GB"/>
              </w:rPr>
              <w:t>and including June</w:t>
            </w:r>
            <w:r w:rsidRPr="001420FC">
              <w:rPr>
                <w:sz w:val="16"/>
                <w:szCs w:val="16"/>
                <w:lang w:val="en-GB"/>
              </w:rPr>
              <w:t xml:space="preserve"> 2021</w:t>
            </w:r>
            <w:r>
              <w:rPr>
                <w:sz w:val="16"/>
                <w:szCs w:val="16"/>
                <w:lang w:val="en-GB"/>
              </w:rPr>
              <w:t>.</w:t>
            </w:r>
          </w:p>
          <w:p w14:paraId="4B1DD3E5" w14:textId="77777777" w:rsidR="001110B7" w:rsidRPr="00FE0CD3" w:rsidRDefault="001110B7" w:rsidP="00F668C6">
            <w:pPr>
              <w:pStyle w:val="ListParagraph"/>
              <w:numPr>
                <w:ilvl w:val="0"/>
                <w:numId w:val="12"/>
              </w:numPr>
              <w:autoSpaceDE w:val="0"/>
              <w:autoSpaceDN w:val="0"/>
              <w:adjustRightInd w:val="0"/>
              <w:spacing w:before="60" w:after="60"/>
              <w:ind w:left="142" w:hanging="142"/>
              <w:contextualSpacing w:val="0"/>
              <w:jc w:val="both"/>
              <w:rPr>
                <w:sz w:val="16"/>
                <w:szCs w:val="16"/>
                <w:lang w:val="en-GB"/>
              </w:rPr>
            </w:pPr>
            <w:r>
              <w:rPr>
                <w:sz w:val="16"/>
                <w:szCs w:val="16"/>
                <w:lang w:val="en-GB"/>
              </w:rPr>
              <w:t>Hydrogen exposure in static conditions.</w:t>
            </w:r>
          </w:p>
        </w:tc>
      </w:tr>
    </w:tbl>
    <w:p w14:paraId="57ACCA4F" w14:textId="0F1CEFE1" w:rsidR="001110B7" w:rsidRDefault="001110B7" w:rsidP="00F668C6">
      <w:pPr>
        <w:jc w:val="both"/>
        <w:rPr>
          <w:b/>
          <w:bCs/>
        </w:rPr>
      </w:pPr>
    </w:p>
    <w:p w14:paraId="4D8B9E0F" w14:textId="77777777" w:rsidR="001110B7" w:rsidRDefault="001110B7" w:rsidP="00F668C6">
      <w:pPr>
        <w:jc w:val="both"/>
        <w:rPr>
          <w:b/>
          <w:bCs/>
        </w:rPr>
      </w:pPr>
    </w:p>
    <w:p w14:paraId="3CDD7499" w14:textId="77777777" w:rsidR="001110B7" w:rsidRDefault="001110B7" w:rsidP="00F668C6">
      <w:pPr>
        <w:jc w:val="both"/>
        <w:rPr>
          <w:b/>
          <w:bCs/>
        </w:rPr>
      </w:pPr>
    </w:p>
    <w:p w14:paraId="178CC98D" w14:textId="77777777" w:rsidR="001110B7" w:rsidRDefault="001110B7" w:rsidP="00F668C6">
      <w:pPr>
        <w:jc w:val="both"/>
        <w:rPr>
          <w:b/>
          <w:bCs/>
        </w:rPr>
      </w:pPr>
    </w:p>
    <w:p w14:paraId="098808D6" w14:textId="16CED34C" w:rsidR="001110B7" w:rsidRDefault="001110B7" w:rsidP="00F668C6">
      <w:pPr>
        <w:jc w:val="both"/>
        <w:rPr>
          <w:b/>
          <w:bCs/>
        </w:rPr>
        <w:sectPr w:rsidR="001110B7" w:rsidSect="00B5147D">
          <w:pgSz w:w="16838" w:h="11906" w:orient="landscape"/>
          <w:pgMar w:top="1440" w:right="1440" w:bottom="1440" w:left="1134" w:header="709" w:footer="709" w:gutter="0"/>
          <w:cols w:space="708"/>
          <w:docGrid w:linePitch="360"/>
        </w:sectPr>
      </w:pPr>
    </w:p>
    <w:p w14:paraId="715520D3" w14:textId="1B445CD3" w:rsidR="007F1021" w:rsidRPr="007B0434" w:rsidRDefault="007B0434" w:rsidP="007B0434">
      <w:pPr>
        <w:pStyle w:val="Heading2"/>
      </w:pPr>
      <w:bookmarkStart w:id="41" w:name="_Toc121830942"/>
      <w:r w:rsidRPr="007B0434">
        <w:lastRenderedPageBreak/>
        <w:t>3.4 DECARB</w:t>
      </w:r>
      <w:r w:rsidR="00BB0431" w:rsidRPr="007B0434">
        <w:t xml:space="preserve"> PROJECT</w:t>
      </w:r>
      <w:r w:rsidRPr="007B0434">
        <w:t xml:space="preserve"> </w:t>
      </w:r>
      <w:r w:rsidR="00BB0431" w:rsidRPr="007B0434">
        <w:t>OPERATING RANGES FOR TESTING</w:t>
      </w:r>
      <w:bookmarkEnd w:id="41"/>
    </w:p>
    <w:p w14:paraId="722022AD" w14:textId="55DF2C00" w:rsidR="00BB0431" w:rsidRDefault="00BB0431" w:rsidP="00F668C6">
      <w:pPr>
        <w:jc w:val="both"/>
      </w:pPr>
    </w:p>
    <w:p w14:paraId="4065696E" w14:textId="4D81A86E" w:rsidR="00BB0431" w:rsidRDefault="00BB0431" w:rsidP="00F668C6">
      <w:pPr>
        <w:spacing w:line="276" w:lineRule="auto"/>
        <w:jc w:val="both"/>
      </w:pPr>
      <w:r>
        <w:t xml:space="preserve">According to the information </w:t>
      </w:r>
      <w:r w:rsidRPr="00191039">
        <w:t xml:space="preserve">collected </w:t>
      </w:r>
      <w:r w:rsidR="00150337">
        <w:t xml:space="preserve">and presented </w:t>
      </w:r>
      <w:r w:rsidRPr="00191039">
        <w:t xml:space="preserve">in </w:t>
      </w:r>
      <w:r w:rsidRPr="00191039">
        <w:rPr>
          <w:b/>
          <w:bCs/>
          <w:color w:val="007AAE"/>
        </w:rPr>
        <w:t xml:space="preserve">section </w:t>
      </w:r>
      <w:r w:rsidRPr="00191039">
        <w:rPr>
          <w:b/>
          <w:bCs/>
          <w:color w:val="007AAE"/>
        </w:rPr>
        <w:fldChar w:fldCharType="begin"/>
      </w:r>
      <w:r w:rsidRPr="00191039">
        <w:rPr>
          <w:b/>
          <w:bCs/>
          <w:color w:val="007AAE"/>
        </w:rPr>
        <w:instrText xml:space="preserve"> REF _Ref96678190 \r \h  \* MERGEFORMAT </w:instrText>
      </w:r>
      <w:r w:rsidRPr="00191039">
        <w:rPr>
          <w:b/>
          <w:bCs/>
          <w:color w:val="007AAE"/>
        </w:rPr>
      </w:r>
      <w:r w:rsidRPr="00191039">
        <w:rPr>
          <w:b/>
          <w:bCs/>
          <w:color w:val="007AAE"/>
        </w:rPr>
        <w:fldChar w:fldCharType="separate"/>
      </w:r>
      <w:r>
        <w:rPr>
          <w:b/>
          <w:bCs/>
          <w:color w:val="007AAE"/>
        </w:rPr>
        <w:t>3</w:t>
      </w:r>
      <w:r w:rsidRPr="00191039">
        <w:rPr>
          <w:b/>
          <w:bCs/>
          <w:color w:val="007AAE"/>
        </w:rPr>
        <w:fldChar w:fldCharType="end"/>
      </w:r>
      <w:r w:rsidRPr="00191039">
        <w:t xml:space="preserve">, </w:t>
      </w:r>
      <w:r w:rsidRPr="00191039">
        <w:fldChar w:fldCharType="begin"/>
      </w:r>
      <w:r w:rsidRPr="00191039">
        <w:instrText xml:space="preserve"> REF _Ref96678218 \h </w:instrText>
      </w:r>
      <w:r>
        <w:instrText xml:space="preserve"> \* MERGEFORMAT </w:instrText>
      </w:r>
      <w:r w:rsidRPr="00191039">
        <w:fldChar w:fldCharType="separate"/>
      </w:r>
      <w:r w:rsidRPr="00186892">
        <w:rPr>
          <w:b/>
          <w:color w:val="007AAE"/>
        </w:rPr>
        <w:t xml:space="preserve">Table </w:t>
      </w:r>
      <w:r w:rsidRPr="00186892">
        <w:rPr>
          <w:b/>
          <w:noProof/>
          <w:color w:val="007AAE"/>
        </w:rPr>
        <w:t>4</w:t>
      </w:r>
      <w:r w:rsidRPr="00191039">
        <w:fldChar w:fldCharType="end"/>
      </w:r>
      <w:r>
        <w:t xml:space="preserve"> shows the proposal of operating ranges for testing the selected flow meters in the framework of the Decarb Project</w:t>
      </w:r>
      <w:r w:rsidRPr="00191039">
        <w:t>.</w:t>
      </w:r>
    </w:p>
    <w:p w14:paraId="0D8A6FDD" w14:textId="77777777" w:rsidR="00BB0431" w:rsidRDefault="00BB0431" w:rsidP="00F668C6">
      <w:pPr>
        <w:spacing w:line="276" w:lineRule="auto"/>
        <w:ind w:left="1134"/>
        <w:jc w:val="both"/>
      </w:pPr>
    </w:p>
    <w:p w14:paraId="12F22F07" w14:textId="77777777" w:rsidR="00BB0431" w:rsidRDefault="00BB0431" w:rsidP="00F668C6">
      <w:pPr>
        <w:spacing w:line="276" w:lineRule="auto"/>
        <w:ind w:left="2552" w:right="1134" w:hanging="1418"/>
        <w:jc w:val="both"/>
        <w:rPr>
          <w:bCs/>
          <w:sz w:val="18"/>
          <w:szCs w:val="18"/>
        </w:rPr>
      </w:pPr>
      <w:bookmarkStart w:id="42" w:name="_Ref96678218"/>
      <w:r w:rsidRPr="00676798">
        <w:rPr>
          <w:b/>
          <w:color w:val="007AAE"/>
          <w:sz w:val="18"/>
          <w:szCs w:val="18"/>
        </w:rPr>
        <w:t xml:space="preserve">Table </w:t>
      </w:r>
      <w:r w:rsidRPr="008742FB">
        <w:rPr>
          <w:b/>
          <w:color w:val="007AAE"/>
          <w:sz w:val="18"/>
          <w:szCs w:val="18"/>
          <w:lang w:val="es-ES_tradnl"/>
        </w:rPr>
        <w:fldChar w:fldCharType="begin"/>
      </w:r>
      <w:r w:rsidRPr="00676798">
        <w:rPr>
          <w:b/>
          <w:color w:val="007AAE"/>
          <w:sz w:val="18"/>
          <w:szCs w:val="18"/>
        </w:rPr>
        <w:instrText xml:space="preserve"> SEQ Table \* ARABIC </w:instrText>
      </w:r>
      <w:r w:rsidRPr="008742FB">
        <w:rPr>
          <w:b/>
          <w:color w:val="007AAE"/>
          <w:sz w:val="18"/>
          <w:szCs w:val="18"/>
          <w:lang w:val="es-ES_tradnl"/>
        </w:rPr>
        <w:fldChar w:fldCharType="separate"/>
      </w:r>
      <w:r>
        <w:rPr>
          <w:b/>
          <w:noProof/>
          <w:color w:val="007AAE"/>
          <w:sz w:val="18"/>
          <w:szCs w:val="18"/>
        </w:rPr>
        <w:t>4</w:t>
      </w:r>
      <w:r w:rsidRPr="008742FB">
        <w:rPr>
          <w:b/>
          <w:color w:val="007AAE"/>
          <w:sz w:val="18"/>
          <w:szCs w:val="18"/>
          <w:lang w:val="es-ES_tradnl"/>
        </w:rPr>
        <w:fldChar w:fldCharType="end"/>
      </w:r>
      <w:bookmarkEnd w:id="42"/>
      <w:r w:rsidRPr="00676798">
        <w:rPr>
          <w:bCs/>
          <w:sz w:val="18"/>
          <w:szCs w:val="18"/>
        </w:rPr>
        <w:t>.-</w:t>
      </w:r>
      <w:r w:rsidRPr="00676798">
        <w:rPr>
          <w:bCs/>
          <w:sz w:val="18"/>
          <w:szCs w:val="18"/>
        </w:rPr>
        <w:tab/>
      </w:r>
      <w:r>
        <w:rPr>
          <w:bCs/>
          <w:sz w:val="18"/>
          <w:szCs w:val="18"/>
        </w:rPr>
        <w:t>Proposal of operating ranges for testing in Decarb Project</w:t>
      </w:r>
      <w:r w:rsidRPr="00676798">
        <w:rPr>
          <w:bCs/>
          <w:sz w:val="18"/>
          <w:szCs w:val="18"/>
        </w:rPr>
        <w:t>.</w:t>
      </w:r>
    </w:p>
    <w:p w14:paraId="7002ECCB" w14:textId="77777777" w:rsidR="00BB0431" w:rsidRPr="00E93E17" w:rsidRDefault="00BB0431" w:rsidP="00F668C6">
      <w:pPr>
        <w:spacing w:after="120" w:line="276" w:lineRule="auto"/>
        <w:ind w:left="2835" w:right="1134"/>
        <w:jc w:val="both"/>
        <w:rPr>
          <w:bCs/>
          <w:sz w:val="18"/>
          <w:szCs w:val="18"/>
        </w:rPr>
      </w:pPr>
      <w:r w:rsidRPr="00E93E17">
        <w:rPr>
          <w:sz w:val="16"/>
          <w:szCs w:val="18"/>
          <w:vertAlign w:val="superscript"/>
        </w:rPr>
        <w:t>(1)</w:t>
      </w:r>
      <w:r w:rsidRPr="00E93E17">
        <w:rPr>
          <w:sz w:val="16"/>
          <w:szCs w:val="18"/>
        </w:rPr>
        <w:t xml:space="preserve"> </w:t>
      </w:r>
      <w:r>
        <w:rPr>
          <w:sz w:val="16"/>
          <w:szCs w:val="18"/>
        </w:rPr>
        <w:t>The admixture's natural gas composition will be defined according to typical gas quality in the European gas grid</w:t>
      </w:r>
      <w:r w:rsidRPr="00E93E17">
        <w:rPr>
          <w:sz w:val="16"/>
          <w:szCs w:val="18"/>
        </w:rPr>
        <w:t>.</w:t>
      </w:r>
      <w:r>
        <w:rPr>
          <w:sz w:val="16"/>
          <w:szCs w:val="18"/>
        </w:rPr>
        <w:t xml:space="preserve"> Hydrogen composition will be determined according to EASEE-gas CBP.</w:t>
      </w:r>
    </w:p>
    <w:tbl>
      <w:tblPr>
        <w:tblStyle w:val="TableGrid"/>
        <w:tblW w:w="9071" w:type="dxa"/>
        <w:jc w:val="center"/>
        <w:tblLook w:val="04A0" w:firstRow="1" w:lastRow="0" w:firstColumn="1" w:lastColumn="0" w:noHBand="0" w:noVBand="1"/>
      </w:tblPr>
      <w:tblGrid>
        <w:gridCol w:w="2268"/>
        <w:gridCol w:w="1701"/>
        <w:gridCol w:w="5102"/>
      </w:tblGrid>
      <w:tr w:rsidR="00BB0431" w:rsidRPr="005122A1" w14:paraId="5557D37F" w14:textId="77777777" w:rsidTr="00B26C13">
        <w:trPr>
          <w:trHeight w:val="397"/>
          <w:jc w:val="center"/>
        </w:trPr>
        <w:tc>
          <w:tcPr>
            <w:tcW w:w="2268" w:type="dxa"/>
            <w:tcBorders>
              <w:top w:val="nil"/>
              <w:left w:val="nil"/>
              <w:bottom w:val="single" w:sz="12" w:space="0" w:color="auto"/>
              <w:right w:val="nil"/>
            </w:tcBorders>
            <w:shd w:val="clear" w:color="auto" w:fill="D9D9D9" w:themeFill="background1" w:themeFillShade="D9"/>
            <w:vAlign w:val="center"/>
          </w:tcPr>
          <w:p w14:paraId="3B430C00" w14:textId="77777777" w:rsidR="00BB0431" w:rsidRPr="008742FB" w:rsidRDefault="00BB0431" w:rsidP="00F668C6">
            <w:pPr>
              <w:autoSpaceDE w:val="0"/>
              <w:autoSpaceDN w:val="0"/>
              <w:adjustRightInd w:val="0"/>
              <w:jc w:val="both"/>
              <w:rPr>
                <w:rFonts w:cs="Verdana"/>
                <w:sz w:val="16"/>
                <w:szCs w:val="16"/>
                <w:lang w:eastAsia="es-ES"/>
              </w:rPr>
            </w:pPr>
            <w:r>
              <w:rPr>
                <w:rFonts w:cs="Verdana"/>
                <w:sz w:val="16"/>
                <w:szCs w:val="16"/>
                <w:lang w:eastAsia="es-ES"/>
              </w:rPr>
              <w:t>Parameter</w:t>
            </w:r>
          </w:p>
        </w:tc>
        <w:tc>
          <w:tcPr>
            <w:tcW w:w="1701" w:type="dxa"/>
            <w:tcBorders>
              <w:top w:val="nil"/>
              <w:left w:val="nil"/>
              <w:bottom w:val="single" w:sz="12" w:space="0" w:color="auto"/>
              <w:right w:val="nil"/>
            </w:tcBorders>
            <w:shd w:val="clear" w:color="auto" w:fill="D9D9D9" w:themeFill="background1" w:themeFillShade="D9"/>
            <w:vAlign w:val="center"/>
          </w:tcPr>
          <w:p w14:paraId="16303757" w14:textId="77777777" w:rsidR="00BB0431" w:rsidRPr="008742FB" w:rsidRDefault="00BB0431" w:rsidP="00F668C6">
            <w:pPr>
              <w:autoSpaceDE w:val="0"/>
              <w:autoSpaceDN w:val="0"/>
              <w:adjustRightInd w:val="0"/>
              <w:jc w:val="both"/>
              <w:rPr>
                <w:rFonts w:cs="Verdana"/>
                <w:sz w:val="16"/>
                <w:szCs w:val="16"/>
                <w:lang w:eastAsia="es-ES"/>
              </w:rPr>
            </w:pPr>
            <w:r>
              <w:rPr>
                <w:rFonts w:cs="Verdana"/>
                <w:sz w:val="16"/>
                <w:szCs w:val="16"/>
                <w:lang w:eastAsia="es-ES"/>
              </w:rPr>
              <w:t>Range</w:t>
            </w:r>
          </w:p>
        </w:tc>
        <w:tc>
          <w:tcPr>
            <w:tcW w:w="5102" w:type="dxa"/>
            <w:tcBorders>
              <w:top w:val="nil"/>
              <w:left w:val="nil"/>
              <w:bottom w:val="single" w:sz="12" w:space="0" w:color="auto"/>
              <w:right w:val="nil"/>
            </w:tcBorders>
            <w:shd w:val="clear" w:color="auto" w:fill="D9D9D9" w:themeFill="background1" w:themeFillShade="D9"/>
            <w:vAlign w:val="center"/>
          </w:tcPr>
          <w:p w14:paraId="52C7C831" w14:textId="77777777" w:rsidR="00BB0431" w:rsidRPr="008742FB" w:rsidRDefault="00BB0431" w:rsidP="00F668C6">
            <w:pPr>
              <w:autoSpaceDE w:val="0"/>
              <w:autoSpaceDN w:val="0"/>
              <w:adjustRightInd w:val="0"/>
              <w:jc w:val="both"/>
              <w:rPr>
                <w:rFonts w:cs="Verdana"/>
                <w:sz w:val="16"/>
                <w:szCs w:val="16"/>
                <w:lang w:eastAsia="es-ES"/>
              </w:rPr>
            </w:pPr>
            <w:r>
              <w:rPr>
                <w:rFonts w:cs="Verdana"/>
                <w:sz w:val="16"/>
                <w:szCs w:val="16"/>
                <w:lang w:eastAsia="es-ES"/>
              </w:rPr>
              <w:t>Comments</w:t>
            </w:r>
          </w:p>
        </w:tc>
      </w:tr>
      <w:tr w:rsidR="00BB0431" w:rsidRPr="007708FC" w14:paraId="6C98FD7A" w14:textId="77777777" w:rsidTr="00B26C13">
        <w:trPr>
          <w:trHeight w:val="680"/>
          <w:jc w:val="center"/>
        </w:trPr>
        <w:tc>
          <w:tcPr>
            <w:tcW w:w="2268" w:type="dxa"/>
            <w:vMerge w:val="restart"/>
            <w:tcBorders>
              <w:top w:val="single" w:sz="12" w:space="0" w:color="auto"/>
              <w:left w:val="nil"/>
              <w:right w:val="nil"/>
            </w:tcBorders>
            <w:shd w:val="clear" w:color="auto" w:fill="auto"/>
            <w:vAlign w:val="center"/>
          </w:tcPr>
          <w:p w14:paraId="255984DB" w14:textId="77777777" w:rsidR="00BB0431" w:rsidRDefault="00BB0431" w:rsidP="00F668C6">
            <w:pPr>
              <w:autoSpaceDE w:val="0"/>
              <w:autoSpaceDN w:val="0"/>
              <w:adjustRightInd w:val="0"/>
              <w:spacing w:before="60" w:after="60"/>
              <w:jc w:val="both"/>
              <w:rPr>
                <w:sz w:val="16"/>
              </w:rPr>
            </w:pPr>
            <w:r>
              <w:rPr>
                <w:b/>
                <w:bCs/>
                <w:sz w:val="16"/>
              </w:rPr>
              <w:t xml:space="preserve">Hydrogen concentration </w:t>
            </w:r>
            <w:r w:rsidRPr="00CF6846">
              <w:rPr>
                <w:b/>
                <w:bCs/>
                <w:sz w:val="16"/>
                <w:vertAlign w:val="superscript"/>
              </w:rPr>
              <w:t>(1)</w:t>
            </w:r>
          </w:p>
        </w:tc>
        <w:tc>
          <w:tcPr>
            <w:tcW w:w="1701" w:type="dxa"/>
            <w:tcBorders>
              <w:top w:val="single" w:sz="12" w:space="0" w:color="auto"/>
              <w:left w:val="nil"/>
              <w:bottom w:val="single" w:sz="4" w:space="0" w:color="auto"/>
              <w:right w:val="nil"/>
            </w:tcBorders>
            <w:vAlign w:val="center"/>
          </w:tcPr>
          <w:p w14:paraId="764A979A" w14:textId="3A775C75" w:rsidR="00BB0431" w:rsidRPr="008742FB" w:rsidRDefault="00BB0431" w:rsidP="00F668C6">
            <w:pPr>
              <w:autoSpaceDE w:val="0"/>
              <w:autoSpaceDN w:val="0"/>
              <w:adjustRightInd w:val="0"/>
              <w:spacing w:before="60" w:after="60"/>
              <w:jc w:val="both"/>
              <w:rPr>
                <w:sz w:val="16"/>
              </w:rPr>
            </w:pPr>
            <w:r>
              <w:rPr>
                <w:sz w:val="16"/>
              </w:rPr>
              <w:t>2 vol</w:t>
            </w:r>
            <w:r w:rsidR="00150337">
              <w:rPr>
                <w:sz w:val="16"/>
              </w:rPr>
              <w:t xml:space="preserve"> </w:t>
            </w:r>
            <w:r>
              <w:rPr>
                <w:sz w:val="16"/>
              </w:rPr>
              <w:t>%</w:t>
            </w:r>
          </w:p>
        </w:tc>
        <w:tc>
          <w:tcPr>
            <w:tcW w:w="5102" w:type="dxa"/>
            <w:tcBorders>
              <w:top w:val="single" w:sz="12" w:space="0" w:color="auto"/>
              <w:left w:val="nil"/>
              <w:bottom w:val="single" w:sz="4" w:space="0" w:color="auto"/>
              <w:right w:val="nil"/>
            </w:tcBorders>
            <w:shd w:val="clear" w:color="auto" w:fill="auto"/>
            <w:vAlign w:val="center"/>
          </w:tcPr>
          <w:p w14:paraId="26A6EB2E" w14:textId="77777777" w:rsidR="00BB0431" w:rsidRPr="008742FB" w:rsidRDefault="00BB0431" w:rsidP="00F668C6">
            <w:pPr>
              <w:autoSpaceDE w:val="0"/>
              <w:autoSpaceDN w:val="0"/>
              <w:adjustRightInd w:val="0"/>
              <w:jc w:val="both"/>
              <w:rPr>
                <w:rFonts w:cs="Verdana"/>
                <w:sz w:val="16"/>
                <w:szCs w:val="16"/>
                <w:lang w:eastAsia="es-ES"/>
              </w:rPr>
            </w:pPr>
            <w:r>
              <w:rPr>
                <w:rFonts w:cs="Verdana"/>
                <w:sz w:val="16"/>
                <w:szCs w:val="16"/>
                <w:lang w:eastAsia="es-ES"/>
              </w:rPr>
              <w:t>Hydrogen concentration that could be handled by sensitive industrial processes, like acetylene production</w:t>
            </w:r>
            <w:r w:rsidRPr="003B7E69">
              <w:rPr>
                <w:rFonts w:cs="Verdana"/>
                <w:sz w:val="16"/>
                <w:szCs w:val="16"/>
                <w:lang w:eastAsia="es-ES"/>
              </w:rPr>
              <w:t xml:space="preserve"> and CNG stations</w:t>
            </w:r>
            <w:r w:rsidRPr="00EC35AE">
              <w:rPr>
                <w:rFonts w:cs="Verdana"/>
                <w:sz w:val="16"/>
                <w:szCs w:val="16"/>
                <w:lang w:eastAsia="es-ES"/>
              </w:rPr>
              <w:t>.</w:t>
            </w:r>
          </w:p>
        </w:tc>
      </w:tr>
      <w:tr w:rsidR="00BB0431" w:rsidRPr="007708FC" w14:paraId="5BFDEBA9" w14:textId="77777777" w:rsidTr="00B26C13">
        <w:trPr>
          <w:trHeight w:val="1077"/>
          <w:jc w:val="center"/>
        </w:trPr>
        <w:tc>
          <w:tcPr>
            <w:tcW w:w="2268" w:type="dxa"/>
            <w:vMerge/>
            <w:tcBorders>
              <w:left w:val="nil"/>
              <w:right w:val="nil"/>
            </w:tcBorders>
            <w:shd w:val="clear" w:color="auto" w:fill="auto"/>
            <w:vAlign w:val="center"/>
          </w:tcPr>
          <w:p w14:paraId="4441333F" w14:textId="77777777" w:rsidR="00BB0431" w:rsidRPr="005122A1" w:rsidRDefault="00BB0431" w:rsidP="00F668C6">
            <w:pPr>
              <w:autoSpaceDE w:val="0"/>
              <w:autoSpaceDN w:val="0"/>
              <w:adjustRightInd w:val="0"/>
              <w:spacing w:before="60"/>
              <w:jc w:val="both"/>
              <w:rPr>
                <w:b/>
                <w:bCs/>
                <w:sz w:val="16"/>
              </w:rPr>
            </w:pPr>
          </w:p>
        </w:tc>
        <w:tc>
          <w:tcPr>
            <w:tcW w:w="1701" w:type="dxa"/>
            <w:tcBorders>
              <w:top w:val="single" w:sz="4" w:space="0" w:color="auto"/>
              <w:left w:val="nil"/>
              <w:bottom w:val="single" w:sz="4" w:space="0" w:color="auto"/>
              <w:right w:val="nil"/>
            </w:tcBorders>
            <w:vAlign w:val="center"/>
          </w:tcPr>
          <w:p w14:paraId="1457D088" w14:textId="20BAC103" w:rsidR="00BB0431" w:rsidRPr="008742FB" w:rsidRDefault="00BB0431" w:rsidP="00F668C6">
            <w:pPr>
              <w:autoSpaceDE w:val="0"/>
              <w:autoSpaceDN w:val="0"/>
              <w:adjustRightInd w:val="0"/>
              <w:spacing w:before="60"/>
              <w:jc w:val="both"/>
              <w:rPr>
                <w:sz w:val="16"/>
              </w:rPr>
            </w:pPr>
            <w:r>
              <w:rPr>
                <w:sz w:val="16"/>
              </w:rPr>
              <w:t>5 vol</w:t>
            </w:r>
            <w:r w:rsidR="00150337">
              <w:rPr>
                <w:sz w:val="16"/>
              </w:rPr>
              <w:t xml:space="preserve"> </w:t>
            </w:r>
            <w:r>
              <w:rPr>
                <w:sz w:val="16"/>
              </w:rPr>
              <w:t>%</w:t>
            </w:r>
          </w:p>
        </w:tc>
        <w:tc>
          <w:tcPr>
            <w:tcW w:w="5102" w:type="dxa"/>
            <w:tcBorders>
              <w:top w:val="single" w:sz="4" w:space="0" w:color="auto"/>
              <w:left w:val="nil"/>
              <w:bottom w:val="single" w:sz="4" w:space="0" w:color="auto"/>
              <w:right w:val="nil"/>
            </w:tcBorders>
            <w:shd w:val="clear" w:color="auto" w:fill="auto"/>
            <w:vAlign w:val="center"/>
          </w:tcPr>
          <w:p w14:paraId="07E7A051" w14:textId="77777777" w:rsidR="00BB0431" w:rsidRPr="008742FB" w:rsidRDefault="00BB0431" w:rsidP="00F668C6">
            <w:pPr>
              <w:autoSpaceDE w:val="0"/>
              <w:autoSpaceDN w:val="0"/>
              <w:adjustRightInd w:val="0"/>
              <w:jc w:val="both"/>
              <w:rPr>
                <w:rFonts w:cs="Verdana"/>
                <w:sz w:val="16"/>
                <w:szCs w:val="16"/>
                <w:lang w:eastAsia="es-ES"/>
              </w:rPr>
            </w:pPr>
            <w:r>
              <w:rPr>
                <w:rFonts w:cs="Verdana"/>
                <w:sz w:val="16"/>
                <w:szCs w:val="16"/>
                <w:lang w:eastAsia="es-ES"/>
              </w:rPr>
              <w:t xml:space="preserve">Hydrogen content that should be accepted by TSOs </w:t>
            </w:r>
            <w:r w:rsidRPr="00027223">
              <w:rPr>
                <w:rFonts w:cs="Verdana"/>
                <w:sz w:val="16"/>
                <w:szCs w:val="16"/>
                <w:lang w:eastAsia="es-ES"/>
              </w:rPr>
              <w:t xml:space="preserve">at interconnection points between </w:t>
            </w:r>
            <w:r>
              <w:rPr>
                <w:rFonts w:cs="Verdana"/>
                <w:sz w:val="16"/>
                <w:szCs w:val="16"/>
                <w:lang w:eastAsia="es-ES"/>
              </w:rPr>
              <w:t>EU</w:t>
            </w:r>
            <w:r w:rsidRPr="00027223">
              <w:rPr>
                <w:rFonts w:cs="Verdana"/>
                <w:sz w:val="16"/>
                <w:szCs w:val="16"/>
                <w:lang w:eastAsia="es-ES"/>
              </w:rPr>
              <w:t xml:space="preserve"> Member States from 1 October 202</w:t>
            </w:r>
            <w:r>
              <w:rPr>
                <w:rFonts w:cs="Verdana"/>
                <w:sz w:val="16"/>
                <w:szCs w:val="16"/>
                <w:lang w:eastAsia="es-ES"/>
              </w:rPr>
              <w:t>5, a</w:t>
            </w:r>
            <w:r w:rsidRPr="00027223">
              <w:rPr>
                <w:rFonts w:cs="Verdana"/>
                <w:sz w:val="16"/>
                <w:szCs w:val="16"/>
                <w:lang w:eastAsia="es-ES"/>
              </w:rPr>
              <w:t>ccording to the Proposal for a Regulation of the European Parliament and of the Council on the internal markets for renewable and natural gases and for hydrogen</w:t>
            </w:r>
            <w:r w:rsidRPr="00145D2D">
              <w:rPr>
                <w:rFonts w:cs="Verdana"/>
                <w:sz w:val="16"/>
                <w:szCs w:val="16"/>
                <w:lang w:eastAsia="es-ES"/>
              </w:rPr>
              <w:t>.</w:t>
            </w:r>
          </w:p>
        </w:tc>
      </w:tr>
      <w:tr w:rsidR="00BB0431" w:rsidRPr="007708FC" w14:paraId="14E1F8F9" w14:textId="77777777" w:rsidTr="00B26C13">
        <w:trPr>
          <w:trHeight w:val="1701"/>
          <w:jc w:val="center"/>
        </w:trPr>
        <w:tc>
          <w:tcPr>
            <w:tcW w:w="2268" w:type="dxa"/>
            <w:vMerge/>
            <w:tcBorders>
              <w:left w:val="nil"/>
              <w:right w:val="nil"/>
            </w:tcBorders>
            <w:shd w:val="clear" w:color="auto" w:fill="auto"/>
            <w:vAlign w:val="center"/>
          </w:tcPr>
          <w:p w14:paraId="3746A0FD" w14:textId="77777777" w:rsidR="00BB0431" w:rsidRPr="005122A1" w:rsidRDefault="00BB0431" w:rsidP="00F668C6">
            <w:pPr>
              <w:autoSpaceDE w:val="0"/>
              <w:autoSpaceDN w:val="0"/>
              <w:adjustRightInd w:val="0"/>
              <w:spacing w:before="60"/>
              <w:jc w:val="both"/>
              <w:rPr>
                <w:b/>
                <w:bCs/>
                <w:sz w:val="16"/>
              </w:rPr>
            </w:pPr>
          </w:p>
        </w:tc>
        <w:tc>
          <w:tcPr>
            <w:tcW w:w="1701" w:type="dxa"/>
            <w:tcBorders>
              <w:top w:val="single" w:sz="4" w:space="0" w:color="auto"/>
              <w:left w:val="nil"/>
              <w:bottom w:val="single" w:sz="4" w:space="0" w:color="auto"/>
              <w:right w:val="nil"/>
            </w:tcBorders>
            <w:vAlign w:val="center"/>
          </w:tcPr>
          <w:p w14:paraId="2B9AE7A6" w14:textId="74B482F5" w:rsidR="00BB0431" w:rsidRDefault="00BB0431" w:rsidP="00F668C6">
            <w:pPr>
              <w:autoSpaceDE w:val="0"/>
              <w:autoSpaceDN w:val="0"/>
              <w:adjustRightInd w:val="0"/>
              <w:spacing w:before="60"/>
              <w:jc w:val="both"/>
              <w:rPr>
                <w:sz w:val="16"/>
              </w:rPr>
            </w:pPr>
            <w:r>
              <w:rPr>
                <w:sz w:val="16"/>
              </w:rPr>
              <w:t>10 vol</w:t>
            </w:r>
            <w:r w:rsidR="00150337">
              <w:rPr>
                <w:sz w:val="16"/>
              </w:rPr>
              <w:t xml:space="preserve"> </w:t>
            </w:r>
            <w:r>
              <w:rPr>
                <w:sz w:val="16"/>
              </w:rPr>
              <w:t>%</w:t>
            </w:r>
          </w:p>
        </w:tc>
        <w:tc>
          <w:tcPr>
            <w:tcW w:w="5102" w:type="dxa"/>
            <w:tcBorders>
              <w:top w:val="single" w:sz="4" w:space="0" w:color="auto"/>
              <w:left w:val="nil"/>
              <w:bottom w:val="single" w:sz="4" w:space="0" w:color="auto"/>
              <w:right w:val="nil"/>
            </w:tcBorders>
            <w:shd w:val="clear" w:color="auto" w:fill="auto"/>
            <w:vAlign w:val="center"/>
          </w:tcPr>
          <w:p w14:paraId="70B587B2" w14:textId="77777777" w:rsidR="00BB0431" w:rsidRDefault="00BB0431" w:rsidP="00F668C6">
            <w:pPr>
              <w:autoSpaceDE w:val="0"/>
              <w:autoSpaceDN w:val="0"/>
              <w:adjustRightInd w:val="0"/>
              <w:jc w:val="both"/>
              <w:rPr>
                <w:rFonts w:cs="Verdana"/>
                <w:sz w:val="16"/>
                <w:szCs w:val="16"/>
                <w:lang w:eastAsia="es-ES"/>
              </w:rPr>
            </w:pPr>
            <w:r>
              <w:rPr>
                <w:rFonts w:cs="Verdana"/>
                <w:sz w:val="16"/>
                <w:szCs w:val="16"/>
                <w:lang w:eastAsia="es-ES"/>
              </w:rPr>
              <w:t xml:space="preserve">Hydrogen content that could be generally accepted and fulfils current limits in </w:t>
            </w:r>
            <w:r w:rsidRPr="003B7E69">
              <w:rPr>
                <w:rFonts w:cs="Verdana"/>
                <w:sz w:val="16"/>
                <w:szCs w:val="16"/>
                <w:lang w:eastAsia="es-ES"/>
              </w:rPr>
              <w:t>relative density</w:t>
            </w:r>
            <w:r>
              <w:rPr>
                <w:rFonts w:cs="Verdana"/>
                <w:sz w:val="16"/>
                <w:szCs w:val="16"/>
                <w:lang w:eastAsia="es-ES"/>
              </w:rPr>
              <w:t>,</w:t>
            </w:r>
            <w:r w:rsidRPr="003B7E69">
              <w:rPr>
                <w:rFonts w:cs="Verdana"/>
                <w:sz w:val="16"/>
                <w:szCs w:val="16"/>
                <w:lang w:eastAsia="es-ES"/>
              </w:rPr>
              <w:t xml:space="preserve"> High Heating Value (HHV) </w:t>
            </w:r>
            <w:r>
              <w:rPr>
                <w:rFonts w:cs="Verdana"/>
                <w:sz w:val="16"/>
                <w:szCs w:val="16"/>
                <w:lang w:eastAsia="es-ES"/>
              </w:rPr>
              <w:t xml:space="preserve">or </w:t>
            </w:r>
            <w:proofErr w:type="spellStart"/>
            <w:r w:rsidRPr="003B7E69">
              <w:rPr>
                <w:rFonts w:cs="Verdana"/>
                <w:sz w:val="16"/>
                <w:szCs w:val="16"/>
                <w:lang w:eastAsia="es-ES"/>
              </w:rPr>
              <w:t>Wobbe</w:t>
            </w:r>
            <w:proofErr w:type="spellEnd"/>
            <w:r w:rsidRPr="003B7E69">
              <w:rPr>
                <w:rFonts w:cs="Verdana"/>
                <w:sz w:val="16"/>
                <w:szCs w:val="16"/>
                <w:lang w:eastAsia="es-ES"/>
              </w:rPr>
              <w:t xml:space="preserve"> Index (WI) </w:t>
            </w:r>
            <w:r>
              <w:rPr>
                <w:rFonts w:cs="Verdana"/>
                <w:sz w:val="16"/>
                <w:szCs w:val="16"/>
                <w:lang w:eastAsia="es-ES"/>
              </w:rPr>
              <w:t xml:space="preserve">defined in </w:t>
            </w:r>
            <w:r w:rsidRPr="003B7E69">
              <w:rPr>
                <w:rFonts w:cs="Verdana"/>
                <w:sz w:val="16"/>
                <w:szCs w:val="16"/>
                <w:lang w:eastAsia="es-ES"/>
              </w:rPr>
              <w:t>Standard EN 16726:2016</w:t>
            </w:r>
            <w:r>
              <w:rPr>
                <w:rFonts w:cs="Verdana"/>
                <w:sz w:val="16"/>
                <w:szCs w:val="16"/>
                <w:lang w:eastAsia="es-ES"/>
              </w:rPr>
              <w:t xml:space="preserve"> and E</w:t>
            </w:r>
            <w:r w:rsidRPr="003B7E69">
              <w:rPr>
                <w:rFonts w:cs="Verdana"/>
                <w:sz w:val="16"/>
                <w:szCs w:val="16"/>
                <w:lang w:eastAsia="es-ES"/>
              </w:rPr>
              <w:t>ASEE-gas CBP</w:t>
            </w:r>
            <w:r>
              <w:rPr>
                <w:rFonts w:cs="Verdana"/>
                <w:sz w:val="16"/>
                <w:szCs w:val="16"/>
                <w:lang w:eastAsia="es-ES"/>
              </w:rPr>
              <w:t>.</w:t>
            </w:r>
          </w:p>
          <w:p w14:paraId="7F23A0EF" w14:textId="77777777" w:rsidR="00BB0431" w:rsidRDefault="00BB0431" w:rsidP="00F668C6">
            <w:pPr>
              <w:autoSpaceDE w:val="0"/>
              <w:autoSpaceDN w:val="0"/>
              <w:adjustRightInd w:val="0"/>
              <w:spacing w:before="60"/>
              <w:jc w:val="both"/>
              <w:rPr>
                <w:rFonts w:cs="Verdana"/>
                <w:sz w:val="16"/>
                <w:szCs w:val="16"/>
                <w:lang w:eastAsia="es-ES"/>
              </w:rPr>
            </w:pPr>
            <w:r>
              <w:rPr>
                <w:rFonts w:cs="Verdana"/>
                <w:sz w:val="16"/>
                <w:szCs w:val="16"/>
                <w:lang w:eastAsia="es-ES"/>
              </w:rPr>
              <w:t>Additionally, this h</w:t>
            </w:r>
            <w:r w:rsidRPr="00125E99">
              <w:rPr>
                <w:rFonts w:cs="Verdana"/>
                <w:sz w:val="16"/>
                <w:szCs w:val="16"/>
                <w:lang w:eastAsia="es-ES"/>
              </w:rPr>
              <w:t xml:space="preserve">ydrogen </w:t>
            </w:r>
            <w:r>
              <w:rPr>
                <w:rFonts w:cs="Verdana"/>
                <w:sz w:val="16"/>
                <w:szCs w:val="16"/>
                <w:lang w:eastAsia="es-ES"/>
              </w:rPr>
              <w:t xml:space="preserve">content </w:t>
            </w:r>
            <w:r w:rsidRPr="00125E99">
              <w:rPr>
                <w:rFonts w:cs="Verdana"/>
                <w:sz w:val="16"/>
                <w:szCs w:val="16"/>
                <w:lang w:eastAsia="es-ES"/>
              </w:rPr>
              <w:t xml:space="preserve">is expected in </w:t>
            </w:r>
            <w:r>
              <w:rPr>
                <w:rFonts w:cs="Verdana"/>
                <w:sz w:val="16"/>
                <w:szCs w:val="16"/>
                <w:lang w:eastAsia="es-ES"/>
              </w:rPr>
              <w:t>the s</w:t>
            </w:r>
            <w:r w:rsidRPr="00125E99">
              <w:rPr>
                <w:rFonts w:cs="Verdana"/>
                <w:sz w:val="16"/>
                <w:szCs w:val="16"/>
                <w:lang w:eastAsia="es-ES"/>
              </w:rPr>
              <w:t xml:space="preserve">hort/mid-term scenario </w:t>
            </w:r>
            <w:r>
              <w:rPr>
                <w:rFonts w:cs="Verdana"/>
                <w:sz w:val="16"/>
                <w:szCs w:val="16"/>
                <w:lang w:eastAsia="es-ES"/>
              </w:rPr>
              <w:t>(2025-2030) identified by r</w:t>
            </w:r>
            <w:r w:rsidRPr="00125E99">
              <w:rPr>
                <w:rFonts w:cs="Verdana"/>
                <w:sz w:val="16"/>
                <w:szCs w:val="16"/>
                <w:lang w:eastAsia="es-ES"/>
              </w:rPr>
              <w:t>elevant stakeholders of the gas value chain participat</w:t>
            </w:r>
            <w:r>
              <w:rPr>
                <w:rFonts w:cs="Verdana"/>
                <w:sz w:val="16"/>
                <w:szCs w:val="16"/>
                <w:lang w:eastAsia="es-ES"/>
              </w:rPr>
              <w:t>ing</w:t>
            </w:r>
            <w:r w:rsidRPr="00125E99">
              <w:rPr>
                <w:rFonts w:cs="Verdana"/>
                <w:sz w:val="16"/>
                <w:szCs w:val="16"/>
                <w:lang w:eastAsia="es-ES"/>
              </w:rPr>
              <w:t xml:space="preserve"> in the prime movers’ group </w:t>
            </w:r>
            <w:r>
              <w:rPr>
                <w:rFonts w:cs="Verdana"/>
                <w:sz w:val="16"/>
                <w:szCs w:val="16"/>
                <w:lang w:eastAsia="es-ES"/>
              </w:rPr>
              <w:t>organised by ENTSOG</w:t>
            </w:r>
            <w:r w:rsidRPr="00125E99">
              <w:rPr>
                <w:rFonts w:cs="Verdana"/>
                <w:sz w:val="16"/>
                <w:szCs w:val="16"/>
                <w:lang w:eastAsia="es-ES"/>
              </w:rPr>
              <w:t>.</w:t>
            </w:r>
          </w:p>
        </w:tc>
      </w:tr>
      <w:tr w:rsidR="00BB0431" w:rsidRPr="007708FC" w14:paraId="230963BB" w14:textId="77777777" w:rsidTr="00B26C13">
        <w:trPr>
          <w:trHeight w:val="510"/>
          <w:jc w:val="center"/>
        </w:trPr>
        <w:tc>
          <w:tcPr>
            <w:tcW w:w="2268" w:type="dxa"/>
            <w:vMerge/>
            <w:tcBorders>
              <w:left w:val="nil"/>
              <w:right w:val="nil"/>
            </w:tcBorders>
            <w:shd w:val="clear" w:color="auto" w:fill="auto"/>
            <w:vAlign w:val="center"/>
          </w:tcPr>
          <w:p w14:paraId="3C191D95" w14:textId="77777777" w:rsidR="00BB0431" w:rsidRPr="005122A1" w:rsidRDefault="00BB0431" w:rsidP="00F668C6">
            <w:pPr>
              <w:autoSpaceDE w:val="0"/>
              <w:autoSpaceDN w:val="0"/>
              <w:adjustRightInd w:val="0"/>
              <w:spacing w:before="60"/>
              <w:jc w:val="both"/>
              <w:rPr>
                <w:b/>
                <w:bCs/>
                <w:sz w:val="16"/>
              </w:rPr>
            </w:pPr>
          </w:p>
        </w:tc>
        <w:tc>
          <w:tcPr>
            <w:tcW w:w="1701" w:type="dxa"/>
            <w:tcBorders>
              <w:top w:val="single" w:sz="4" w:space="0" w:color="auto"/>
              <w:left w:val="nil"/>
              <w:bottom w:val="single" w:sz="4" w:space="0" w:color="auto"/>
              <w:right w:val="nil"/>
            </w:tcBorders>
            <w:vAlign w:val="center"/>
          </w:tcPr>
          <w:p w14:paraId="2A90AEA7" w14:textId="3F16C60A" w:rsidR="00BB0431" w:rsidRDefault="00BB0431" w:rsidP="00F668C6">
            <w:pPr>
              <w:autoSpaceDE w:val="0"/>
              <w:autoSpaceDN w:val="0"/>
              <w:adjustRightInd w:val="0"/>
              <w:spacing w:before="60"/>
              <w:jc w:val="both"/>
              <w:rPr>
                <w:sz w:val="16"/>
              </w:rPr>
            </w:pPr>
            <w:r>
              <w:rPr>
                <w:sz w:val="16"/>
              </w:rPr>
              <w:t>20 vol</w:t>
            </w:r>
            <w:r w:rsidR="00150337">
              <w:rPr>
                <w:sz w:val="16"/>
              </w:rPr>
              <w:t xml:space="preserve"> </w:t>
            </w:r>
            <w:r>
              <w:rPr>
                <w:sz w:val="16"/>
              </w:rPr>
              <w:t>%</w:t>
            </w:r>
          </w:p>
        </w:tc>
        <w:tc>
          <w:tcPr>
            <w:tcW w:w="5102" w:type="dxa"/>
            <w:tcBorders>
              <w:top w:val="single" w:sz="4" w:space="0" w:color="auto"/>
              <w:left w:val="nil"/>
              <w:bottom w:val="single" w:sz="4" w:space="0" w:color="auto"/>
              <w:right w:val="nil"/>
            </w:tcBorders>
            <w:shd w:val="clear" w:color="auto" w:fill="auto"/>
            <w:vAlign w:val="center"/>
          </w:tcPr>
          <w:p w14:paraId="0B890820" w14:textId="77777777" w:rsidR="00BB0431" w:rsidRDefault="00BB0431" w:rsidP="00F668C6">
            <w:pPr>
              <w:autoSpaceDE w:val="0"/>
              <w:autoSpaceDN w:val="0"/>
              <w:adjustRightInd w:val="0"/>
              <w:jc w:val="both"/>
              <w:rPr>
                <w:rFonts w:cs="Verdana"/>
                <w:sz w:val="16"/>
                <w:szCs w:val="16"/>
                <w:lang w:eastAsia="es-ES"/>
              </w:rPr>
            </w:pPr>
            <w:r>
              <w:rPr>
                <w:rFonts w:cs="Verdana"/>
                <w:sz w:val="16"/>
                <w:szCs w:val="16"/>
                <w:lang w:eastAsia="es-ES"/>
              </w:rPr>
              <w:t xml:space="preserve">Hydrogen content </w:t>
            </w:r>
            <w:r w:rsidRPr="00125E99">
              <w:rPr>
                <w:rFonts w:cs="Verdana"/>
                <w:sz w:val="16"/>
                <w:szCs w:val="16"/>
                <w:lang w:eastAsia="es-ES"/>
              </w:rPr>
              <w:t xml:space="preserve">expected in </w:t>
            </w:r>
            <w:r>
              <w:rPr>
                <w:rFonts w:cs="Verdana"/>
                <w:sz w:val="16"/>
                <w:szCs w:val="16"/>
                <w:lang w:eastAsia="es-ES"/>
              </w:rPr>
              <w:t>m</w:t>
            </w:r>
            <w:r w:rsidRPr="00125E99">
              <w:rPr>
                <w:rFonts w:cs="Verdana"/>
                <w:sz w:val="16"/>
                <w:szCs w:val="16"/>
                <w:lang w:eastAsia="es-ES"/>
              </w:rPr>
              <w:t>id-term scenario (2030-2040</w:t>
            </w:r>
            <w:r>
              <w:rPr>
                <w:rFonts w:cs="Verdana"/>
                <w:sz w:val="16"/>
                <w:szCs w:val="16"/>
                <w:lang w:eastAsia="es-ES"/>
              </w:rPr>
              <w:t xml:space="preserve">) </w:t>
            </w:r>
            <w:r w:rsidRPr="00125E99">
              <w:rPr>
                <w:rFonts w:cs="Verdana"/>
                <w:sz w:val="16"/>
                <w:szCs w:val="16"/>
                <w:lang w:eastAsia="es-ES"/>
              </w:rPr>
              <w:t xml:space="preserve">identified by </w:t>
            </w:r>
            <w:r>
              <w:rPr>
                <w:rFonts w:cs="Verdana"/>
                <w:sz w:val="16"/>
                <w:szCs w:val="16"/>
                <w:lang w:eastAsia="es-ES"/>
              </w:rPr>
              <w:t>ENTSOG</w:t>
            </w:r>
            <w:r w:rsidRPr="00125E99">
              <w:rPr>
                <w:rFonts w:cs="Verdana"/>
                <w:sz w:val="16"/>
                <w:szCs w:val="16"/>
                <w:lang w:eastAsia="es-ES"/>
              </w:rPr>
              <w:t xml:space="preserve"> prime movers’ group</w:t>
            </w:r>
            <w:r>
              <w:rPr>
                <w:rFonts w:cs="Verdana"/>
                <w:sz w:val="16"/>
                <w:szCs w:val="16"/>
                <w:lang w:eastAsia="es-ES"/>
              </w:rPr>
              <w:t>.</w:t>
            </w:r>
          </w:p>
        </w:tc>
      </w:tr>
      <w:tr w:rsidR="00BB0431" w:rsidRPr="007708FC" w14:paraId="39771552" w14:textId="77777777" w:rsidTr="00B26C13">
        <w:trPr>
          <w:trHeight w:val="1077"/>
          <w:jc w:val="center"/>
        </w:trPr>
        <w:tc>
          <w:tcPr>
            <w:tcW w:w="2268" w:type="dxa"/>
            <w:vMerge/>
            <w:tcBorders>
              <w:left w:val="nil"/>
              <w:bottom w:val="single" w:sz="4" w:space="0" w:color="auto"/>
              <w:right w:val="nil"/>
            </w:tcBorders>
            <w:shd w:val="clear" w:color="auto" w:fill="auto"/>
            <w:vAlign w:val="center"/>
          </w:tcPr>
          <w:p w14:paraId="3A43C7F0" w14:textId="77777777" w:rsidR="00BB0431" w:rsidRPr="005122A1" w:rsidRDefault="00BB0431" w:rsidP="00F668C6">
            <w:pPr>
              <w:autoSpaceDE w:val="0"/>
              <w:autoSpaceDN w:val="0"/>
              <w:adjustRightInd w:val="0"/>
              <w:spacing w:before="60"/>
              <w:jc w:val="both"/>
              <w:rPr>
                <w:b/>
                <w:bCs/>
                <w:sz w:val="16"/>
              </w:rPr>
            </w:pPr>
          </w:p>
        </w:tc>
        <w:tc>
          <w:tcPr>
            <w:tcW w:w="1701" w:type="dxa"/>
            <w:tcBorders>
              <w:top w:val="single" w:sz="4" w:space="0" w:color="auto"/>
              <w:left w:val="nil"/>
              <w:bottom w:val="single" w:sz="4" w:space="0" w:color="auto"/>
              <w:right w:val="nil"/>
            </w:tcBorders>
            <w:vAlign w:val="center"/>
          </w:tcPr>
          <w:p w14:paraId="555A1535" w14:textId="25A8C6F7" w:rsidR="00BB0431" w:rsidRDefault="00BB0431" w:rsidP="00F668C6">
            <w:pPr>
              <w:autoSpaceDE w:val="0"/>
              <w:autoSpaceDN w:val="0"/>
              <w:adjustRightInd w:val="0"/>
              <w:spacing w:before="60"/>
              <w:jc w:val="both"/>
              <w:rPr>
                <w:sz w:val="16"/>
              </w:rPr>
            </w:pPr>
            <w:r>
              <w:rPr>
                <w:sz w:val="16"/>
              </w:rPr>
              <w:t>100 vol</w:t>
            </w:r>
            <w:r w:rsidR="00150337">
              <w:rPr>
                <w:sz w:val="16"/>
              </w:rPr>
              <w:t xml:space="preserve"> </w:t>
            </w:r>
            <w:r>
              <w:rPr>
                <w:sz w:val="16"/>
              </w:rPr>
              <w:t>%</w:t>
            </w:r>
          </w:p>
        </w:tc>
        <w:tc>
          <w:tcPr>
            <w:tcW w:w="5102" w:type="dxa"/>
            <w:tcBorders>
              <w:top w:val="single" w:sz="4" w:space="0" w:color="auto"/>
              <w:left w:val="nil"/>
              <w:bottom w:val="single" w:sz="4" w:space="0" w:color="auto"/>
              <w:right w:val="nil"/>
            </w:tcBorders>
            <w:shd w:val="clear" w:color="auto" w:fill="auto"/>
            <w:vAlign w:val="center"/>
          </w:tcPr>
          <w:p w14:paraId="7BEC75FB" w14:textId="77777777" w:rsidR="00BB0431" w:rsidRDefault="00BB0431" w:rsidP="00F668C6">
            <w:pPr>
              <w:autoSpaceDE w:val="0"/>
              <w:autoSpaceDN w:val="0"/>
              <w:adjustRightInd w:val="0"/>
              <w:jc w:val="both"/>
              <w:rPr>
                <w:rFonts w:cs="Verdana"/>
                <w:sz w:val="16"/>
                <w:szCs w:val="16"/>
                <w:lang w:eastAsia="es-ES"/>
              </w:rPr>
            </w:pPr>
            <w:r w:rsidRPr="00125E99">
              <w:rPr>
                <w:rFonts w:cs="Verdana"/>
                <w:sz w:val="16"/>
                <w:szCs w:val="16"/>
                <w:lang w:eastAsia="es-ES"/>
              </w:rPr>
              <w:t>Hydrogen Backbone scenario</w:t>
            </w:r>
            <w:r>
              <w:rPr>
                <w:rFonts w:cs="Verdana"/>
                <w:sz w:val="16"/>
                <w:szCs w:val="16"/>
                <w:lang w:eastAsia="es-ES"/>
              </w:rPr>
              <w:t xml:space="preserve"> expected</w:t>
            </w:r>
            <w:r w:rsidRPr="00125E99">
              <w:rPr>
                <w:rFonts w:cs="Verdana"/>
                <w:sz w:val="16"/>
                <w:szCs w:val="16"/>
                <w:lang w:eastAsia="es-ES"/>
              </w:rPr>
              <w:t xml:space="preserve"> into the future</w:t>
            </w:r>
            <w:r>
              <w:rPr>
                <w:rFonts w:cs="Verdana"/>
                <w:sz w:val="16"/>
                <w:szCs w:val="16"/>
                <w:lang w:eastAsia="es-ES"/>
              </w:rPr>
              <w:t xml:space="preserve"> with a</w:t>
            </w:r>
            <w:r w:rsidRPr="00125E99">
              <w:rPr>
                <w:rFonts w:cs="Verdana"/>
                <w:sz w:val="16"/>
                <w:szCs w:val="16"/>
                <w:lang w:eastAsia="es-ES"/>
              </w:rPr>
              <w:t xml:space="preserve"> </w:t>
            </w:r>
            <w:r>
              <w:rPr>
                <w:rFonts w:cs="Verdana"/>
                <w:sz w:val="16"/>
                <w:szCs w:val="16"/>
                <w:lang w:eastAsia="es-ES"/>
              </w:rPr>
              <w:t xml:space="preserve">repurposed or new </w:t>
            </w:r>
            <w:r w:rsidRPr="00125E99">
              <w:rPr>
                <w:rFonts w:cs="Verdana"/>
                <w:sz w:val="16"/>
                <w:szCs w:val="16"/>
                <w:lang w:eastAsia="es-ES"/>
              </w:rPr>
              <w:t>H</w:t>
            </w:r>
            <w:r w:rsidRPr="000335A1">
              <w:rPr>
                <w:rFonts w:cs="Verdana"/>
                <w:sz w:val="16"/>
                <w:szCs w:val="16"/>
                <w:vertAlign w:val="subscript"/>
                <w:lang w:eastAsia="es-ES"/>
              </w:rPr>
              <w:t>2</w:t>
            </w:r>
            <w:r>
              <w:rPr>
                <w:rFonts w:cs="Verdana"/>
                <w:sz w:val="16"/>
                <w:szCs w:val="16"/>
                <w:lang w:eastAsia="es-ES"/>
              </w:rPr>
              <w:t xml:space="preserve"> </w:t>
            </w:r>
            <w:r w:rsidRPr="00125E99">
              <w:rPr>
                <w:rFonts w:cs="Verdana"/>
                <w:sz w:val="16"/>
                <w:szCs w:val="16"/>
                <w:lang w:eastAsia="es-ES"/>
              </w:rPr>
              <w:t>dedicated</w:t>
            </w:r>
            <w:r>
              <w:rPr>
                <w:rFonts w:cs="Verdana"/>
                <w:sz w:val="16"/>
                <w:szCs w:val="16"/>
                <w:lang w:eastAsia="es-ES"/>
              </w:rPr>
              <w:t xml:space="preserve"> grid.</w:t>
            </w:r>
            <w:r w:rsidRPr="00125E99">
              <w:rPr>
                <w:rFonts w:cs="Verdana"/>
                <w:sz w:val="16"/>
                <w:szCs w:val="16"/>
                <w:lang w:eastAsia="es-ES"/>
              </w:rPr>
              <w:t xml:space="preserve"> The repurposing of natural gas pipelines into dedicated hydrogen networks is already materialising in some Member States </w:t>
            </w:r>
            <w:r>
              <w:rPr>
                <w:rFonts w:cs="Verdana"/>
                <w:sz w:val="16"/>
                <w:szCs w:val="16"/>
                <w:lang w:eastAsia="es-ES"/>
              </w:rPr>
              <w:t>and</w:t>
            </w:r>
            <w:r w:rsidRPr="00125E99">
              <w:rPr>
                <w:rFonts w:cs="Verdana"/>
                <w:sz w:val="16"/>
                <w:szCs w:val="16"/>
                <w:lang w:eastAsia="es-ES"/>
              </w:rPr>
              <w:t xml:space="preserve"> can be a reality in just </w:t>
            </w:r>
            <w:r>
              <w:rPr>
                <w:rFonts w:cs="Verdana"/>
                <w:sz w:val="16"/>
                <w:szCs w:val="16"/>
                <w:lang w:eastAsia="es-ES"/>
              </w:rPr>
              <w:t xml:space="preserve">a </w:t>
            </w:r>
            <w:r w:rsidRPr="00125E99">
              <w:rPr>
                <w:rFonts w:cs="Verdana"/>
                <w:sz w:val="16"/>
                <w:szCs w:val="16"/>
                <w:lang w:eastAsia="es-ES"/>
              </w:rPr>
              <w:t>few years</w:t>
            </w:r>
            <w:r>
              <w:rPr>
                <w:rFonts w:cs="Verdana"/>
                <w:sz w:val="16"/>
                <w:szCs w:val="16"/>
                <w:lang w:eastAsia="es-ES"/>
              </w:rPr>
              <w:t>.</w:t>
            </w:r>
          </w:p>
        </w:tc>
      </w:tr>
      <w:tr w:rsidR="00BB0431" w:rsidRPr="007708FC" w14:paraId="2240C748" w14:textId="77777777" w:rsidTr="00B26C13">
        <w:trPr>
          <w:trHeight w:val="510"/>
          <w:jc w:val="center"/>
        </w:trPr>
        <w:tc>
          <w:tcPr>
            <w:tcW w:w="2268" w:type="dxa"/>
            <w:vMerge w:val="restart"/>
            <w:tcBorders>
              <w:top w:val="single" w:sz="4" w:space="0" w:color="auto"/>
              <w:left w:val="nil"/>
              <w:right w:val="nil"/>
            </w:tcBorders>
            <w:shd w:val="clear" w:color="auto" w:fill="auto"/>
            <w:vAlign w:val="center"/>
          </w:tcPr>
          <w:p w14:paraId="2879BD70" w14:textId="77777777" w:rsidR="00BB0431" w:rsidRDefault="00BB0431" w:rsidP="00F668C6">
            <w:pPr>
              <w:autoSpaceDE w:val="0"/>
              <w:autoSpaceDN w:val="0"/>
              <w:adjustRightInd w:val="0"/>
              <w:spacing w:before="60"/>
              <w:jc w:val="both"/>
              <w:rPr>
                <w:b/>
                <w:bCs/>
                <w:sz w:val="16"/>
              </w:rPr>
            </w:pPr>
            <w:r>
              <w:rPr>
                <w:b/>
                <w:bCs/>
                <w:sz w:val="16"/>
              </w:rPr>
              <w:t>Pressure</w:t>
            </w:r>
          </w:p>
        </w:tc>
        <w:tc>
          <w:tcPr>
            <w:tcW w:w="1701" w:type="dxa"/>
            <w:tcBorders>
              <w:top w:val="single" w:sz="4" w:space="0" w:color="auto"/>
              <w:left w:val="nil"/>
              <w:bottom w:val="single" w:sz="4" w:space="0" w:color="auto"/>
              <w:right w:val="nil"/>
            </w:tcBorders>
            <w:vAlign w:val="center"/>
          </w:tcPr>
          <w:p w14:paraId="61653293" w14:textId="77777777" w:rsidR="00BB0431" w:rsidRPr="008742FB" w:rsidRDefault="00BB0431" w:rsidP="00F668C6">
            <w:pPr>
              <w:autoSpaceDE w:val="0"/>
              <w:autoSpaceDN w:val="0"/>
              <w:adjustRightInd w:val="0"/>
              <w:spacing w:before="60"/>
              <w:jc w:val="both"/>
              <w:rPr>
                <w:sz w:val="16"/>
              </w:rPr>
            </w:pPr>
            <w:r>
              <w:rPr>
                <w:sz w:val="16"/>
              </w:rPr>
              <w:t xml:space="preserve">20-25 </w:t>
            </w:r>
            <w:proofErr w:type="spellStart"/>
            <w:r>
              <w:rPr>
                <w:sz w:val="16"/>
              </w:rPr>
              <w:t>mbarg</w:t>
            </w:r>
            <w:proofErr w:type="spellEnd"/>
          </w:p>
        </w:tc>
        <w:tc>
          <w:tcPr>
            <w:tcW w:w="5102" w:type="dxa"/>
            <w:tcBorders>
              <w:top w:val="single" w:sz="4" w:space="0" w:color="auto"/>
              <w:left w:val="nil"/>
              <w:bottom w:val="single" w:sz="4" w:space="0" w:color="auto"/>
              <w:right w:val="nil"/>
            </w:tcBorders>
            <w:shd w:val="clear" w:color="auto" w:fill="auto"/>
            <w:vAlign w:val="center"/>
          </w:tcPr>
          <w:p w14:paraId="025216C9" w14:textId="77777777" w:rsidR="00BB0431" w:rsidRDefault="00BB0431" w:rsidP="00F668C6">
            <w:pPr>
              <w:autoSpaceDE w:val="0"/>
              <w:autoSpaceDN w:val="0"/>
              <w:adjustRightInd w:val="0"/>
              <w:jc w:val="both"/>
              <w:rPr>
                <w:rFonts w:cs="Verdana"/>
                <w:sz w:val="16"/>
                <w:szCs w:val="16"/>
                <w:lang w:eastAsia="es-ES"/>
              </w:rPr>
            </w:pPr>
            <w:r>
              <w:rPr>
                <w:rFonts w:cs="Verdana"/>
                <w:sz w:val="16"/>
                <w:szCs w:val="16"/>
                <w:lang w:eastAsia="es-ES"/>
              </w:rPr>
              <w:t>General pressure at</w:t>
            </w:r>
            <w:r w:rsidRPr="00925060">
              <w:rPr>
                <w:rFonts w:cs="Verdana"/>
                <w:sz w:val="16"/>
                <w:szCs w:val="16"/>
                <w:lang w:eastAsia="es-ES"/>
              </w:rPr>
              <w:t xml:space="preserve"> the inlet connection of gas appliances for domestic</w:t>
            </w:r>
            <w:r>
              <w:rPr>
                <w:rFonts w:cs="Verdana"/>
                <w:sz w:val="16"/>
                <w:szCs w:val="16"/>
                <w:lang w:eastAsia="es-ES"/>
              </w:rPr>
              <w:t xml:space="preserve"> or </w:t>
            </w:r>
            <w:r w:rsidRPr="00925060">
              <w:rPr>
                <w:rFonts w:cs="Verdana"/>
                <w:sz w:val="16"/>
                <w:szCs w:val="16"/>
                <w:lang w:eastAsia="es-ES"/>
              </w:rPr>
              <w:t>commercial purposes</w:t>
            </w:r>
            <w:r>
              <w:rPr>
                <w:rFonts w:cs="Verdana"/>
                <w:sz w:val="16"/>
                <w:szCs w:val="16"/>
                <w:lang w:eastAsia="es-ES"/>
              </w:rPr>
              <w:t>.</w:t>
            </w:r>
          </w:p>
        </w:tc>
      </w:tr>
      <w:tr w:rsidR="00BB0431" w:rsidRPr="007708FC" w14:paraId="71AB216D" w14:textId="77777777" w:rsidTr="00B26C13">
        <w:trPr>
          <w:trHeight w:val="510"/>
          <w:jc w:val="center"/>
        </w:trPr>
        <w:tc>
          <w:tcPr>
            <w:tcW w:w="2268" w:type="dxa"/>
            <w:vMerge/>
            <w:tcBorders>
              <w:left w:val="nil"/>
              <w:right w:val="nil"/>
            </w:tcBorders>
            <w:shd w:val="clear" w:color="auto" w:fill="auto"/>
            <w:vAlign w:val="center"/>
          </w:tcPr>
          <w:p w14:paraId="2A29D9B8" w14:textId="77777777" w:rsidR="00BB0431" w:rsidRDefault="00BB0431" w:rsidP="00F668C6">
            <w:pPr>
              <w:autoSpaceDE w:val="0"/>
              <w:autoSpaceDN w:val="0"/>
              <w:adjustRightInd w:val="0"/>
              <w:spacing w:before="60"/>
              <w:jc w:val="both"/>
              <w:rPr>
                <w:b/>
                <w:bCs/>
                <w:sz w:val="16"/>
              </w:rPr>
            </w:pPr>
          </w:p>
        </w:tc>
        <w:tc>
          <w:tcPr>
            <w:tcW w:w="1701" w:type="dxa"/>
            <w:tcBorders>
              <w:top w:val="single" w:sz="4" w:space="0" w:color="auto"/>
              <w:left w:val="nil"/>
              <w:bottom w:val="single" w:sz="4" w:space="0" w:color="auto"/>
              <w:right w:val="nil"/>
            </w:tcBorders>
            <w:vAlign w:val="center"/>
          </w:tcPr>
          <w:p w14:paraId="22923A0B" w14:textId="77777777" w:rsidR="00BB0431" w:rsidRPr="008742FB" w:rsidRDefault="00BB0431" w:rsidP="00F668C6">
            <w:pPr>
              <w:autoSpaceDE w:val="0"/>
              <w:autoSpaceDN w:val="0"/>
              <w:adjustRightInd w:val="0"/>
              <w:spacing w:before="60"/>
              <w:jc w:val="both"/>
              <w:rPr>
                <w:sz w:val="16"/>
              </w:rPr>
            </w:pPr>
            <w:r>
              <w:rPr>
                <w:sz w:val="16"/>
              </w:rPr>
              <w:t>4-16 barg</w:t>
            </w:r>
          </w:p>
        </w:tc>
        <w:tc>
          <w:tcPr>
            <w:tcW w:w="5102" w:type="dxa"/>
            <w:tcBorders>
              <w:top w:val="single" w:sz="4" w:space="0" w:color="auto"/>
              <w:left w:val="nil"/>
              <w:bottom w:val="single" w:sz="4" w:space="0" w:color="auto"/>
              <w:right w:val="nil"/>
            </w:tcBorders>
            <w:shd w:val="clear" w:color="auto" w:fill="auto"/>
            <w:vAlign w:val="center"/>
          </w:tcPr>
          <w:p w14:paraId="5EC97570" w14:textId="77777777" w:rsidR="00BB0431" w:rsidRDefault="00BB0431" w:rsidP="00F668C6">
            <w:pPr>
              <w:autoSpaceDE w:val="0"/>
              <w:autoSpaceDN w:val="0"/>
              <w:adjustRightInd w:val="0"/>
              <w:jc w:val="both"/>
              <w:rPr>
                <w:rFonts w:cs="Verdana"/>
                <w:sz w:val="16"/>
                <w:szCs w:val="16"/>
                <w:lang w:eastAsia="es-ES"/>
              </w:rPr>
            </w:pPr>
            <w:r>
              <w:rPr>
                <w:rFonts w:cs="Verdana"/>
                <w:sz w:val="16"/>
                <w:szCs w:val="16"/>
                <w:lang w:eastAsia="es-ES"/>
              </w:rPr>
              <w:t>General pressure at distribution gas grid.</w:t>
            </w:r>
          </w:p>
        </w:tc>
      </w:tr>
      <w:tr w:rsidR="00BB0431" w:rsidRPr="007708FC" w14:paraId="47ACE65D" w14:textId="77777777" w:rsidTr="00B26C13">
        <w:trPr>
          <w:trHeight w:val="510"/>
          <w:jc w:val="center"/>
        </w:trPr>
        <w:tc>
          <w:tcPr>
            <w:tcW w:w="2268" w:type="dxa"/>
            <w:vMerge/>
            <w:tcBorders>
              <w:left w:val="nil"/>
              <w:bottom w:val="single" w:sz="4" w:space="0" w:color="auto"/>
              <w:right w:val="nil"/>
            </w:tcBorders>
            <w:shd w:val="clear" w:color="auto" w:fill="auto"/>
            <w:vAlign w:val="center"/>
          </w:tcPr>
          <w:p w14:paraId="4D2E4756" w14:textId="77777777" w:rsidR="00BB0431" w:rsidRDefault="00BB0431" w:rsidP="00F668C6">
            <w:pPr>
              <w:autoSpaceDE w:val="0"/>
              <w:autoSpaceDN w:val="0"/>
              <w:adjustRightInd w:val="0"/>
              <w:spacing w:before="60"/>
              <w:jc w:val="both"/>
              <w:rPr>
                <w:b/>
                <w:bCs/>
                <w:sz w:val="16"/>
              </w:rPr>
            </w:pPr>
          </w:p>
        </w:tc>
        <w:tc>
          <w:tcPr>
            <w:tcW w:w="1701" w:type="dxa"/>
            <w:tcBorders>
              <w:top w:val="single" w:sz="4" w:space="0" w:color="auto"/>
              <w:left w:val="nil"/>
              <w:bottom w:val="single" w:sz="4" w:space="0" w:color="auto"/>
              <w:right w:val="nil"/>
            </w:tcBorders>
            <w:vAlign w:val="center"/>
          </w:tcPr>
          <w:p w14:paraId="03738816" w14:textId="77777777" w:rsidR="00BB0431" w:rsidRPr="008742FB" w:rsidRDefault="00BB0431" w:rsidP="00F668C6">
            <w:pPr>
              <w:autoSpaceDE w:val="0"/>
              <w:autoSpaceDN w:val="0"/>
              <w:adjustRightInd w:val="0"/>
              <w:spacing w:before="60"/>
              <w:jc w:val="both"/>
              <w:rPr>
                <w:sz w:val="16"/>
              </w:rPr>
            </w:pPr>
            <w:r>
              <w:rPr>
                <w:sz w:val="16"/>
              </w:rPr>
              <w:t>50-80 barg</w:t>
            </w:r>
          </w:p>
        </w:tc>
        <w:tc>
          <w:tcPr>
            <w:tcW w:w="5102" w:type="dxa"/>
            <w:tcBorders>
              <w:top w:val="single" w:sz="4" w:space="0" w:color="auto"/>
              <w:left w:val="nil"/>
              <w:bottom w:val="single" w:sz="4" w:space="0" w:color="auto"/>
              <w:right w:val="nil"/>
            </w:tcBorders>
            <w:shd w:val="clear" w:color="auto" w:fill="auto"/>
            <w:vAlign w:val="center"/>
          </w:tcPr>
          <w:p w14:paraId="02385F4E" w14:textId="77777777" w:rsidR="00BB0431" w:rsidRDefault="00BB0431" w:rsidP="00F668C6">
            <w:pPr>
              <w:autoSpaceDE w:val="0"/>
              <w:autoSpaceDN w:val="0"/>
              <w:adjustRightInd w:val="0"/>
              <w:jc w:val="both"/>
              <w:rPr>
                <w:rFonts w:cs="Verdana"/>
                <w:sz w:val="16"/>
                <w:szCs w:val="16"/>
                <w:lang w:eastAsia="es-ES"/>
              </w:rPr>
            </w:pPr>
            <w:r w:rsidRPr="00925060">
              <w:rPr>
                <w:rFonts w:cs="Verdana"/>
                <w:sz w:val="16"/>
                <w:szCs w:val="16"/>
                <w:lang w:eastAsia="es-ES"/>
              </w:rPr>
              <w:t xml:space="preserve">General pressure at </w:t>
            </w:r>
            <w:r>
              <w:rPr>
                <w:rFonts w:cs="Verdana"/>
                <w:sz w:val="16"/>
                <w:szCs w:val="16"/>
                <w:lang w:eastAsia="es-ES"/>
              </w:rPr>
              <w:t>transmission</w:t>
            </w:r>
            <w:r w:rsidRPr="00925060">
              <w:rPr>
                <w:rFonts w:cs="Verdana"/>
                <w:sz w:val="16"/>
                <w:szCs w:val="16"/>
                <w:lang w:eastAsia="es-ES"/>
              </w:rPr>
              <w:t xml:space="preserve"> gas grid.</w:t>
            </w:r>
          </w:p>
        </w:tc>
      </w:tr>
      <w:tr w:rsidR="00BB0431" w:rsidRPr="007708FC" w14:paraId="0E065ECF" w14:textId="77777777" w:rsidTr="00B26C13">
        <w:trPr>
          <w:trHeight w:val="510"/>
          <w:jc w:val="center"/>
        </w:trPr>
        <w:tc>
          <w:tcPr>
            <w:tcW w:w="2268" w:type="dxa"/>
            <w:tcBorders>
              <w:top w:val="single" w:sz="4" w:space="0" w:color="auto"/>
              <w:left w:val="nil"/>
              <w:bottom w:val="single" w:sz="4" w:space="0" w:color="auto"/>
              <w:right w:val="nil"/>
            </w:tcBorders>
            <w:shd w:val="clear" w:color="auto" w:fill="auto"/>
            <w:vAlign w:val="center"/>
          </w:tcPr>
          <w:p w14:paraId="4F0E4C03" w14:textId="77777777" w:rsidR="00BB0431" w:rsidRPr="00B06580" w:rsidRDefault="00BB0431" w:rsidP="00F668C6">
            <w:pPr>
              <w:autoSpaceDE w:val="0"/>
              <w:autoSpaceDN w:val="0"/>
              <w:adjustRightInd w:val="0"/>
              <w:spacing w:before="60"/>
              <w:jc w:val="both"/>
              <w:rPr>
                <w:b/>
                <w:bCs/>
                <w:sz w:val="16"/>
              </w:rPr>
            </w:pPr>
            <w:r>
              <w:rPr>
                <w:b/>
                <w:bCs/>
                <w:sz w:val="16"/>
              </w:rPr>
              <w:t>Flow rate</w:t>
            </w:r>
          </w:p>
        </w:tc>
        <w:tc>
          <w:tcPr>
            <w:tcW w:w="1701" w:type="dxa"/>
            <w:tcBorders>
              <w:top w:val="single" w:sz="4" w:space="0" w:color="auto"/>
              <w:left w:val="nil"/>
              <w:bottom w:val="single" w:sz="4" w:space="0" w:color="auto"/>
              <w:right w:val="nil"/>
            </w:tcBorders>
            <w:vAlign w:val="center"/>
          </w:tcPr>
          <w:p w14:paraId="7286F1D8" w14:textId="77777777" w:rsidR="00BB0431" w:rsidRPr="00332254" w:rsidRDefault="00BB0431" w:rsidP="00F668C6">
            <w:pPr>
              <w:autoSpaceDE w:val="0"/>
              <w:autoSpaceDN w:val="0"/>
              <w:adjustRightInd w:val="0"/>
              <w:spacing w:before="60"/>
              <w:jc w:val="both"/>
              <w:rPr>
                <w:sz w:val="16"/>
              </w:rPr>
            </w:pPr>
            <w:r>
              <w:rPr>
                <w:sz w:val="16"/>
              </w:rPr>
              <w:t>TBD</w:t>
            </w:r>
          </w:p>
        </w:tc>
        <w:tc>
          <w:tcPr>
            <w:tcW w:w="5102" w:type="dxa"/>
            <w:tcBorders>
              <w:top w:val="single" w:sz="4" w:space="0" w:color="auto"/>
              <w:left w:val="nil"/>
              <w:bottom w:val="single" w:sz="4" w:space="0" w:color="auto"/>
              <w:right w:val="nil"/>
            </w:tcBorders>
            <w:shd w:val="clear" w:color="auto" w:fill="auto"/>
            <w:vAlign w:val="center"/>
          </w:tcPr>
          <w:p w14:paraId="3DF8D4BE" w14:textId="3D421257" w:rsidR="00BB0431" w:rsidRPr="00332254" w:rsidRDefault="00BB0431" w:rsidP="00F668C6">
            <w:pPr>
              <w:autoSpaceDE w:val="0"/>
              <w:autoSpaceDN w:val="0"/>
              <w:adjustRightInd w:val="0"/>
              <w:jc w:val="both"/>
              <w:rPr>
                <w:rFonts w:cs="Verdana"/>
                <w:sz w:val="16"/>
                <w:szCs w:val="16"/>
                <w:lang w:eastAsia="es-ES"/>
              </w:rPr>
            </w:pPr>
            <w:r>
              <w:rPr>
                <w:rFonts w:cs="Verdana"/>
                <w:sz w:val="16"/>
                <w:szCs w:val="16"/>
                <w:lang w:eastAsia="es-ES"/>
              </w:rPr>
              <w:t xml:space="preserve">According to test </w:t>
            </w:r>
            <w:r w:rsidR="00150337">
              <w:rPr>
                <w:rFonts w:cs="Verdana"/>
                <w:sz w:val="16"/>
                <w:szCs w:val="16"/>
                <w:lang w:eastAsia="es-ES"/>
              </w:rPr>
              <w:t>flow facilities</w:t>
            </w:r>
            <w:r>
              <w:rPr>
                <w:rFonts w:cs="Verdana"/>
                <w:sz w:val="16"/>
                <w:szCs w:val="16"/>
                <w:lang w:eastAsia="es-ES"/>
              </w:rPr>
              <w:t xml:space="preserve"> capacit</w:t>
            </w:r>
            <w:r w:rsidR="00150337">
              <w:rPr>
                <w:rFonts w:cs="Verdana"/>
                <w:sz w:val="16"/>
                <w:szCs w:val="16"/>
                <w:lang w:eastAsia="es-ES"/>
              </w:rPr>
              <w:t>y</w:t>
            </w:r>
            <w:r>
              <w:rPr>
                <w:rFonts w:cs="Verdana"/>
                <w:sz w:val="16"/>
                <w:szCs w:val="16"/>
                <w:lang w:eastAsia="es-ES"/>
              </w:rPr>
              <w:t xml:space="preserve"> and available flow meters</w:t>
            </w:r>
            <w:r w:rsidRPr="002A0244">
              <w:rPr>
                <w:rFonts w:cs="Verdana"/>
                <w:sz w:val="16"/>
                <w:szCs w:val="16"/>
                <w:lang w:eastAsia="es-ES"/>
              </w:rPr>
              <w:t>.</w:t>
            </w:r>
          </w:p>
        </w:tc>
      </w:tr>
      <w:tr w:rsidR="00BB0431" w:rsidRPr="005122A1" w14:paraId="612D513C" w14:textId="77777777" w:rsidTr="00B26C13">
        <w:trPr>
          <w:trHeight w:val="510"/>
          <w:jc w:val="center"/>
        </w:trPr>
        <w:tc>
          <w:tcPr>
            <w:tcW w:w="2268" w:type="dxa"/>
            <w:tcBorders>
              <w:top w:val="single" w:sz="4" w:space="0" w:color="auto"/>
              <w:left w:val="nil"/>
              <w:bottom w:val="single" w:sz="12" w:space="0" w:color="auto"/>
              <w:right w:val="nil"/>
            </w:tcBorders>
            <w:shd w:val="clear" w:color="auto" w:fill="auto"/>
            <w:vAlign w:val="center"/>
          </w:tcPr>
          <w:p w14:paraId="256FE040" w14:textId="77777777" w:rsidR="00BB0431" w:rsidRPr="00332254" w:rsidRDefault="00BB0431" w:rsidP="00F668C6">
            <w:pPr>
              <w:autoSpaceDE w:val="0"/>
              <w:autoSpaceDN w:val="0"/>
              <w:adjustRightInd w:val="0"/>
              <w:spacing w:before="60" w:after="60"/>
              <w:jc w:val="both"/>
              <w:rPr>
                <w:sz w:val="16"/>
              </w:rPr>
            </w:pPr>
            <w:r>
              <w:rPr>
                <w:b/>
                <w:bCs/>
                <w:sz w:val="16"/>
              </w:rPr>
              <w:t>Temperature</w:t>
            </w:r>
          </w:p>
        </w:tc>
        <w:tc>
          <w:tcPr>
            <w:tcW w:w="1701" w:type="dxa"/>
            <w:tcBorders>
              <w:top w:val="single" w:sz="4" w:space="0" w:color="auto"/>
              <w:left w:val="nil"/>
              <w:bottom w:val="single" w:sz="12" w:space="0" w:color="auto"/>
              <w:right w:val="nil"/>
            </w:tcBorders>
            <w:vAlign w:val="center"/>
          </w:tcPr>
          <w:p w14:paraId="4FFAC1CE" w14:textId="77777777" w:rsidR="00BB0431" w:rsidRPr="00332254" w:rsidRDefault="00BB0431" w:rsidP="00F668C6">
            <w:pPr>
              <w:autoSpaceDE w:val="0"/>
              <w:autoSpaceDN w:val="0"/>
              <w:adjustRightInd w:val="0"/>
              <w:spacing w:before="60" w:after="60"/>
              <w:jc w:val="both"/>
              <w:rPr>
                <w:sz w:val="16"/>
              </w:rPr>
            </w:pPr>
            <w:r>
              <w:rPr>
                <w:sz w:val="16"/>
              </w:rPr>
              <w:t>10-25 ºC</w:t>
            </w:r>
          </w:p>
        </w:tc>
        <w:tc>
          <w:tcPr>
            <w:tcW w:w="5102" w:type="dxa"/>
            <w:tcBorders>
              <w:top w:val="single" w:sz="4" w:space="0" w:color="auto"/>
              <w:left w:val="nil"/>
              <w:bottom w:val="single" w:sz="12" w:space="0" w:color="auto"/>
              <w:right w:val="nil"/>
            </w:tcBorders>
            <w:shd w:val="clear" w:color="auto" w:fill="auto"/>
            <w:vAlign w:val="center"/>
          </w:tcPr>
          <w:p w14:paraId="61E9CB68" w14:textId="77777777" w:rsidR="00BB0431" w:rsidRPr="00332254" w:rsidRDefault="00BB0431" w:rsidP="00F668C6">
            <w:pPr>
              <w:autoSpaceDE w:val="0"/>
              <w:autoSpaceDN w:val="0"/>
              <w:adjustRightInd w:val="0"/>
              <w:jc w:val="both"/>
              <w:rPr>
                <w:rFonts w:cs="Verdana"/>
                <w:sz w:val="16"/>
                <w:szCs w:val="16"/>
                <w:lang w:eastAsia="es-ES"/>
              </w:rPr>
            </w:pPr>
            <w:r>
              <w:rPr>
                <w:rFonts w:cs="Verdana"/>
                <w:sz w:val="16"/>
                <w:szCs w:val="16"/>
                <w:lang w:eastAsia="es-ES"/>
              </w:rPr>
              <w:t>Ground temperature reference.</w:t>
            </w:r>
          </w:p>
        </w:tc>
      </w:tr>
    </w:tbl>
    <w:p w14:paraId="22925FB0" w14:textId="77777777" w:rsidR="00BB0431" w:rsidRDefault="00BB0431" w:rsidP="00F668C6">
      <w:pPr>
        <w:spacing w:line="276" w:lineRule="auto"/>
        <w:ind w:left="1134"/>
        <w:jc w:val="both"/>
        <w:rPr>
          <w:rFonts w:cs="Calibri"/>
        </w:rPr>
      </w:pPr>
    </w:p>
    <w:p w14:paraId="646DA433" w14:textId="77777777" w:rsidR="00BB0431" w:rsidRPr="00EC35AE" w:rsidRDefault="00BB0431" w:rsidP="00F668C6">
      <w:pPr>
        <w:spacing w:line="276" w:lineRule="auto"/>
        <w:ind w:left="1134"/>
        <w:jc w:val="both"/>
      </w:pPr>
    </w:p>
    <w:p w14:paraId="5D411A62" w14:textId="77777777" w:rsidR="00BB0431" w:rsidRPr="00EC35AE" w:rsidRDefault="00BB0431" w:rsidP="00F668C6">
      <w:pPr>
        <w:jc w:val="both"/>
        <w:rPr>
          <w:bCs/>
          <w:kern w:val="28"/>
        </w:rPr>
      </w:pPr>
      <w:r w:rsidRPr="00EC35AE">
        <w:rPr>
          <w:caps/>
        </w:rPr>
        <w:br w:type="page"/>
      </w:r>
    </w:p>
    <w:p w14:paraId="6DA7DE3B" w14:textId="170F5B5E" w:rsidR="00BB0431" w:rsidRDefault="00BB0431" w:rsidP="00F668C6">
      <w:pPr>
        <w:pStyle w:val="Heading1"/>
        <w:jc w:val="both"/>
      </w:pPr>
      <w:bookmarkStart w:id="43" w:name="_Toc121830943"/>
      <w:r>
        <w:lastRenderedPageBreak/>
        <w:t xml:space="preserve">4. </w:t>
      </w:r>
      <w:r w:rsidRPr="00BB0431">
        <w:t>EUROPEAN COUNTRIES DECARBONISATION PLANS</w:t>
      </w:r>
      <w:bookmarkEnd w:id="43"/>
    </w:p>
    <w:p w14:paraId="2D93B79A" w14:textId="77777777" w:rsidR="004A3ED2" w:rsidRDefault="004A3ED2" w:rsidP="00F668C6">
      <w:pPr>
        <w:spacing w:line="276" w:lineRule="auto"/>
        <w:jc w:val="both"/>
      </w:pPr>
    </w:p>
    <w:p w14:paraId="3AC2CDBE" w14:textId="654F76F6" w:rsidR="001E7DA3" w:rsidRPr="00506FE4" w:rsidRDefault="001E7DA3" w:rsidP="00F668C6">
      <w:pPr>
        <w:spacing w:line="276" w:lineRule="auto"/>
        <w:jc w:val="both"/>
      </w:pPr>
      <w:r>
        <w:t xml:space="preserve">National Energy and Climate Plans (NECPs) are considered </w:t>
      </w:r>
      <w:r w:rsidR="00E961FA">
        <w:t xml:space="preserve">as </w:t>
      </w:r>
      <w:r>
        <w:t xml:space="preserve">the best reference for collecting information </w:t>
      </w:r>
      <w:r w:rsidR="00E961FA">
        <w:t>on</w:t>
      </w:r>
      <w:r>
        <w:t xml:space="preserve"> decarbonisation plans across European countries. This section shows an overview of hydrogen strategies.</w:t>
      </w:r>
    </w:p>
    <w:p w14:paraId="7EF419A2" w14:textId="34517BA7" w:rsidR="001E7DA3" w:rsidRPr="001E7DA3" w:rsidRDefault="001E7DA3" w:rsidP="00F668C6">
      <w:pPr>
        <w:spacing w:line="276" w:lineRule="auto"/>
        <w:jc w:val="both"/>
        <w:rPr>
          <w:rFonts w:cstheme="minorHAnsi"/>
        </w:rPr>
      </w:pPr>
      <w:r w:rsidRPr="00AB4DE3">
        <w:t xml:space="preserve">The analysis of the NECPs shows that EU Member States are increasingly considering hydrogen deployment as part of their strategy to decarbonise energy supply. In the final NECPs for 2021-2030, hydrogen is more prevalent than in the draft NECPs submitted </w:t>
      </w:r>
      <w:r>
        <w:t xml:space="preserve">in </w:t>
      </w:r>
      <w:r w:rsidRPr="00AB4DE3">
        <w:t xml:space="preserve">early 2019, showing that hydrogen is gaining momentum in the </w:t>
      </w:r>
      <w:r w:rsidRPr="001E7DA3">
        <w:rPr>
          <w:rFonts w:cstheme="minorHAnsi"/>
        </w:rPr>
        <w:t>debate on decarbonising the EU economy. The following conclusions can be highlighted:</w:t>
      </w:r>
    </w:p>
    <w:p w14:paraId="75884679" w14:textId="77777777" w:rsidR="001E7DA3" w:rsidRPr="001E7DA3" w:rsidRDefault="001E7DA3" w:rsidP="00F668C6">
      <w:pPr>
        <w:pStyle w:val="ListParagraph"/>
        <w:numPr>
          <w:ilvl w:val="0"/>
          <w:numId w:val="13"/>
        </w:numPr>
        <w:spacing w:before="60" w:line="276" w:lineRule="auto"/>
        <w:ind w:left="851" w:hanging="397"/>
        <w:contextualSpacing w:val="0"/>
        <w:jc w:val="both"/>
        <w:rPr>
          <w:rFonts w:asciiTheme="minorHAnsi" w:hAnsiTheme="minorHAnsi" w:cstheme="minorHAnsi"/>
          <w:lang w:val="en-GB"/>
        </w:rPr>
      </w:pPr>
      <w:r w:rsidRPr="001E7DA3">
        <w:rPr>
          <w:rFonts w:asciiTheme="minorHAnsi" w:hAnsiTheme="minorHAnsi" w:cstheme="minorHAnsi"/>
          <w:lang w:val="en-GB"/>
        </w:rPr>
        <w:t>Most policy documents acknowledge hydrogen as a critical pillar in the energy transition to achieve climate neutrality and define hydrogen as an alternative fuel. Its regulation falls under the national measures implementing EU Directive 2014/94/EU on Alternative Fuels Infrastructure.</w:t>
      </w:r>
    </w:p>
    <w:p w14:paraId="08047C15" w14:textId="77777777" w:rsidR="001E7DA3" w:rsidRPr="001E7DA3" w:rsidRDefault="001E7DA3" w:rsidP="00F668C6">
      <w:pPr>
        <w:pStyle w:val="ListParagraph"/>
        <w:numPr>
          <w:ilvl w:val="0"/>
          <w:numId w:val="13"/>
        </w:numPr>
        <w:spacing w:before="60" w:line="276" w:lineRule="auto"/>
        <w:ind w:left="851" w:hanging="397"/>
        <w:contextualSpacing w:val="0"/>
        <w:jc w:val="both"/>
        <w:rPr>
          <w:rFonts w:asciiTheme="minorHAnsi" w:hAnsiTheme="minorHAnsi" w:cstheme="minorHAnsi"/>
          <w:lang w:val="en-GB"/>
        </w:rPr>
      </w:pPr>
      <w:r w:rsidRPr="001E7DA3">
        <w:rPr>
          <w:rFonts w:asciiTheme="minorHAnsi" w:hAnsiTheme="minorHAnsi" w:cstheme="minorHAnsi"/>
          <w:lang w:val="en-GB"/>
        </w:rPr>
        <w:t>Most of the EU countries are currently developing their national hydrogen strategies. Several Member States refer in their NECP to the potential benefits and contributions of hydrogen to energy and climate goals and present their existing or intended generic or hydrogen-specific measures and initiatives. These initiatives mainly focus on research, pilot and demonstration projects for hydrogen production, transport/</w:t>
      </w:r>
      <w:proofErr w:type="gramStart"/>
      <w:r w:rsidRPr="001E7DA3">
        <w:rPr>
          <w:rFonts w:asciiTheme="minorHAnsi" w:hAnsiTheme="minorHAnsi" w:cstheme="minorHAnsi"/>
          <w:lang w:val="en-GB"/>
        </w:rPr>
        <w:t>distribution</w:t>
      </w:r>
      <w:proofErr w:type="gramEnd"/>
      <w:r w:rsidRPr="001E7DA3">
        <w:rPr>
          <w:rFonts w:asciiTheme="minorHAnsi" w:hAnsiTheme="minorHAnsi" w:cstheme="minorHAnsi"/>
          <w:lang w:val="en-GB"/>
        </w:rPr>
        <w:t xml:space="preserve"> and storage, and end-use, particularly for transport purposes.</w:t>
      </w:r>
    </w:p>
    <w:p w14:paraId="2F18E94D" w14:textId="77777777" w:rsidR="001E7DA3" w:rsidRPr="001E7DA3" w:rsidRDefault="001E7DA3" w:rsidP="00F668C6">
      <w:pPr>
        <w:pStyle w:val="ListParagraph"/>
        <w:numPr>
          <w:ilvl w:val="0"/>
          <w:numId w:val="13"/>
        </w:numPr>
        <w:spacing w:before="60" w:line="276" w:lineRule="auto"/>
        <w:ind w:left="851" w:hanging="397"/>
        <w:contextualSpacing w:val="0"/>
        <w:jc w:val="both"/>
        <w:rPr>
          <w:rFonts w:asciiTheme="minorHAnsi" w:hAnsiTheme="minorHAnsi" w:cstheme="minorHAnsi"/>
          <w:lang w:val="en-GB"/>
        </w:rPr>
      </w:pPr>
      <w:r w:rsidRPr="001E7DA3">
        <w:rPr>
          <w:rFonts w:asciiTheme="minorHAnsi" w:hAnsiTheme="minorHAnsi" w:cstheme="minorHAnsi"/>
          <w:lang w:val="en-GB"/>
        </w:rPr>
        <w:t>Several NECPs comprise expected or targeted hydrogen demand for 2030, while a few NECPs also include targets for hydrogen production.</w:t>
      </w:r>
    </w:p>
    <w:p w14:paraId="69BB073C" w14:textId="77777777" w:rsidR="001E7DA3" w:rsidRPr="001E7DA3" w:rsidRDefault="001E7DA3" w:rsidP="00F668C6">
      <w:pPr>
        <w:pStyle w:val="ListParagraph"/>
        <w:numPr>
          <w:ilvl w:val="0"/>
          <w:numId w:val="13"/>
        </w:numPr>
        <w:spacing w:before="60" w:line="276" w:lineRule="auto"/>
        <w:ind w:left="851" w:hanging="397"/>
        <w:contextualSpacing w:val="0"/>
        <w:jc w:val="both"/>
        <w:rPr>
          <w:rFonts w:asciiTheme="minorHAnsi" w:hAnsiTheme="minorHAnsi" w:cstheme="minorHAnsi"/>
          <w:lang w:val="en-GB"/>
        </w:rPr>
      </w:pPr>
      <w:r w:rsidRPr="001E7DA3">
        <w:rPr>
          <w:rFonts w:asciiTheme="minorHAnsi" w:hAnsiTheme="minorHAnsi" w:cstheme="minorHAnsi"/>
          <w:lang w:val="en-GB"/>
        </w:rPr>
        <w:t>Following the EU targets, countries usually envisage the development of green hydrogen, but some countries declare that they will use blue hydrogen as well, at least for some time.</w:t>
      </w:r>
    </w:p>
    <w:p w14:paraId="471187F3" w14:textId="77777777" w:rsidR="001E7DA3" w:rsidRPr="001E7DA3" w:rsidRDefault="001E7DA3" w:rsidP="00F668C6">
      <w:pPr>
        <w:pStyle w:val="ListParagraph"/>
        <w:numPr>
          <w:ilvl w:val="0"/>
          <w:numId w:val="13"/>
        </w:numPr>
        <w:spacing w:before="60" w:line="276" w:lineRule="auto"/>
        <w:ind w:left="851" w:hanging="397"/>
        <w:contextualSpacing w:val="0"/>
        <w:jc w:val="both"/>
        <w:rPr>
          <w:rFonts w:asciiTheme="minorHAnsi" w:hAnsiTheme="minorHAnsi" w:cstheme="minorHAnsi"/>
          <w:lang w:val="en-GB"/>
        </w:rPr>
      </w:pPr>
      <w:r w:rsidRPr="001E7DA3">
        <w:rPr>
          <w:rFonts w:asciiTheme="minorHAnsi" w:hAnsiTheme="minorHAnsi" w:cstheme="minorHAnsi"/>
          <w:lang w:val="en-GB"/>
        </w:rPr>
        <w:t>National strategies &amp; policy documents define goals in:</w:t>
      </w:r>
    </w:p>
    <w:p w14:paraId="0699587C" w14:textId="77777777" w:rsidR="001E7DA3" w:rsidRPr="001E7DA3" w:rsidRDefault="001E7DA3" w:rsidP="00F668C6">
      <w:pPr>
        <w:pStyle w:val="ListParagraph"/>
        <w:numPr>
          <w:ilvl w:val="0"/>
          <w:numId w:val="5"/>
        </w:numPr>
        <w:spacing w:before="60" w:line="276" w:lineRule="auto"/>
        <w:ind w:left="1248" w:hanging="397"/>
        <w:contextualSpacing w:val="0"/>
        <w:jc w:val="both"/>
        <w:rPr>
          <w:rFonts w:asciiTheme="minorHAnsi" w:hAnsiTheme="minorHAnsi" w:cstheme="minorHAnsi"/>
          <w:lang w:val="en-GB"/>
        </w:rPr>
      </w:pPr>
      <w:r w:rsidRPr="001E7DA3">
        <w:rPr>
          <w:rFonts w:asciiTheme="minorHAnsi" w:hAnsiTheme="minorHAnsi" w:cstheme="minorHAnsi"/>
          <w:lang w:val="en-GB"/>
        </w:rPr>
        <w:t>Hydrogen production, transportation, and storage.</w:t>
      </w:r>
    </w:p>
    <w:p w14:paraId="43E45368" w14:textId="77777777" w:rsidR="001E7DA3" w:rsidRPr="001E7DA3" w:rsidRDefault="001E7DA3" w:rsidP="00F668C6">
      <w:pPr>
        <w:pStyle w:val="ListParagraph"/>
        <w:numPr>
          <w:ilvl w:val="0"/>
          <w:numId w:val="5"/>
        </w:numPr>
        <w:spacing w:before="60" w:line="276" w:lineRule="auto"/>
        <w:ind w:left="1248" w:hanging="397"/>
        <w:contextualSpacing w:val="0"/>
        <w:jc w:val="both"/>
        <w:rPr>
          <w:rFonts w:asciiTheme="minorHAnsi" w:hAnsiTheme="minorHAnsi" w:cstheme="minorHAnsi"/>
          <w:lang w:val="en-GB"/>
        </w:rPr>
      </w:pPr>
      <w:r w:rsidRPr="001E7DA3">
        <w:rPr>
          <w:rFonts w:asciiTheme="minorHAnsi" w:hAnsiTheme="minorHAnsi" w:cstheme="minorHAnsi"/>
          <w:lang w:val="en-GB"/>
        </w:rPr>
        <w:t>The development of hydrogen supply chains.</w:t>
      </w:r>
    </w:p>
    <w:p w14:paraId="296085C3" w14:textId="77777777" w:rsidR="001E7DA3" w:rsidRPr="001E7DA3" w:rsidRDefault="001E7DA3" w:rsidP="00F668C6">
      <w:pPr>
        <w:pStyle w:val="ListParagraph"/>
        <w:numPr>
          <w:ilvl w:val="0"/>
          <w:numId w:val="5"/>
        </w:numPr>
        <w:spacing w:before="60" w:line="276" w:lineRule="auto"/>
        <w:ind w:left="1248" w:hanging="397"/>
        <w:contextualSpacing w:val="0"/>
        <w:jc w:val="both"/>
        <w:rPr>
          <w:rFonts w:asciiTheme="minorHAnsi" w:hAnsiTheme="minorHAnsi" w:cstheme="minorHAnsi"/>
          <w:lang w:val="en-GB"/>
        </w:rPr>
      </w:pPr>
      <w:r w:rsidRPr="001E7DA3">
        <w:rPr>
          <w:rFonts w:asciiTheme="minorHAnsi" w:hAnsiTheme="minorHAnsi" w:cstheme="minorHAnsi"/>
          <w:lang w:val="en-GB"/>
        </w:rPr>
        <w:t>The establishment of hydrogen refuelling stations.</w:t>
      </w:r>
    </w:p>
    <w:p w14:paraId="76F86087" w14:textId="77777777" w:rsidR="001E7DA3" w:rsidRPr="001E7DA3" w:rsidRDefault="001E7DA3" w:rsidP="00F668C6">
      <w:pPr>
        <w:pStyle w:val="ListParagraph"/>
        <w:numPr>
          <w:ilvl w:val="0"/>
          <w:numId w:val="5"/>
        </w:numPr>
        <w:spacing w:before="60" w:line="276" w:lineRule="auto"/>
        <w:ind w:left="1248" w:hanging="397"/>
        <w:contextualSpacing w:val="0"/>
        <w:jc w:val="both"/>
        <w:rPr>
          <w:rFonts w:asciiTheme="minorHAnsi" w:hAnsiTheme="minorHAnsi" w:cstheme="minorHAnsi"/>
          <w:lang w:val="en-GB"/>
        </w:rPr>
      </w:pPr>
      <w:r w:rsidRPr="001E7DA3">
        <w:rPr>
          <w:rFonts w:asciiTheme="minorHAnsi" w:hAnsiTheme="minorHAnsi" w:cstheme="minorHAnsi"/>
          <w:lang w:val="en-GB"/>
        </w:rPr>
        <w:t>The use of hydrogen in hard-to-abate industries, where hydrogen is a prospective alternative to natural gas, and the use in transport.</w:t>
      </w:r>
    </w:p>
    <w:p w14:paraId="319C2151" w14:textId="77777777" w:rsidR="001E7DA3" w:rsidRPr="001E7DA3" w:rsidRDefault="001E7DA3" w:rsidP="00F668C6">
      <w:pPr>
        <w:pStyle w:val="ListParagraph"/>
        <w:numPr>
          <w:ilvl w:val="0"/>
          <w:numId w:val="5"/>
        </w:numPr>
        <w:spacing w:before="60" w:line="276" w:lineRule="auto"/>
        <w:ind w:left="1248" w:hanging="397"/>
        <w:contextualSpacing w:val="0"/>
        <w:jc w:val="both"/>
        <w:rPr>
          <w:rFonts w:asciiTheme="minorHAnsi" w:hAnsiTheme="minorHAnsi" w:cstheme="minorHAnsi"/>
          <w:lang w:val="en-GB"/>
        </w:rPr>
      </w:pPr>
      <w:r w:rsidRPr="001E7DA3">
        <w:rPr>
          <w:rFonts w:asciiTheme="minorHAnsi" w:hAnsiTheme="minorHAnsi" w:cstheme="minorHAnsi"/>
          <w:lang w:val="en-GB"/>
        </w:rPr>
        <w:t>The development of common standards.</w:t>
      </w:r>
    </w:p>
    <w:p w14:paraId="4DB6E715" w14:textId="1EBCB873" w:rsidR="001E7DA3" w:rsidRPr="001E7DA3" w:rsidRDefault="001E7DA3" w:rsidP="00F668C6">
      <w:pPr>
        <w:pStyle w:val="ListParagraph"/>
        <w:numPr>
          <w:ilvl w:val="0"/>
          <w:numId w:val="13"/>
        </w:numPr>
        <w:spacing w:before="60" w:line="276" w:lineRule="auto"/>
        <w:ind w:left="851" w:hanging="397"/>
        <w:contextualSpacing w:val="0"/>
        <w:jc w:val="both"/>
        <w:rPr>
          <w:rFonts w:asciiTheme="minorHAnsi" w:hAnsiTheme="minorHAnsi" w:cstheme="minorHAnsi"/>
          <w:lang w:val="en-GB"/>
        </w:rPr>
      </w:pPr>
      <w:r w:rsidRPr="001E7DA3">
        <w:rPr>
          <w:rFonts w:asciiTheme="minorHAnsi" w:hAnsiTheme="minorHAnsi" w:cstheme="minorHAnsi"/>
          <w:lang w:val="en-GB"/>
        </w:rPr>
        <w:t>The deployment of hydrogen facilitates th</w:t>
      </w:r>
      <w:r w:rsidR="00F1492B">
        <w:rPr>
          <w:rFonts w:asciiTheme="minorHAnsi" w:hAnsiTheme="minorHAnsi" w:cstheme="minorHAnsi"/>
          <w:lang w:val="en-GB"/>
        </w:rPr>
        <w:t>at</w:t>
      </w:r>
      <w:r w:rsidRPr="001E7DA3">
        <w:rPr>
          <w:rFonts w:asciiTheme="minorHAnsi" w:hAnsiTheme="minorHAnsi" w:cstheme="minorHAnsi"/>
          <w:lang w:val="en-GB"/>
        </w:rPr>
        <w:t xml:space="preserve"> optimise </w:t>
      </w:r>
      <w:r w:rsidR="00F1492B">
        <w:rPr>
          <w:rFonts w:asciiTheme="minorHAnsi" w:hAnsiTheme="minorHAnsi" w:cstheme="minorHAnsi"/>
          <w:lang w:val="en-GB"/>
        </w:rPr>
        <w:t xml:space="preserve">the </w:t>
      </w:r>
      <w:r w:rsidRPr="001E7DA3">
        <w:rPr>
          <w:rFonts w:asciiTheme="minorHAnsi" w:hAnsiTheme="minorHAnsi" w:cstheme="minorHAnsi"/>
          <w:lang w:val="en-GB"/>
        </w:rPr>
        <w:t>use of renewable energy resources. It allows further use of existing natural gas infrastructure, thereby avoiding stranded assets and reducing the investment needs for electricity transport and storage infrastructure.</w:t>
      </w:r>
    </w:p>
    <w:p w14:paraId="7CCBF57B" w14:textId="77777777" w:rsidR="001E7DA3" w:rsidRPr="001E7DA3" w:rsidRDefault="001E7DA3" w:rsidP="00F668C6">
      <w:pPr>
        <w:pStyle w:val="ListParagraph"/>
        <w:numPr>
          <w:ilvl w:val="0"/>
          <w:numId w:val="13"/>
        </w:numPr>
        <w:spacing w:before="60" w:line="276" w:lineRule="auto"/>
        <w:ind w:left="851" w:hanging="397"/>
        <w:contextualSpacing w:val="0"/>
        <w:jc w:val="both"/>
        <w:rPr>
          <w:rFonts w:asciiTheme="minorHAnsi" w:hAnsiTheme="minorHAnsi" w:cstheme="minorHAnsi"/>
          <w:lang w:val="en-GB"/>
        </w:rPr>
      </w:pPr>
      <w:r w:rsidRPr="001E7DA3">
        <w:rPr>
          <w:rFonts w:asciiTheme="minorHAnsi" w:hAnsiTheme="minorHAnsi" w:cstheme="minorHAnsi"/>
          <w:lang w:val="en-GB"/>
        </w:rPr>
        <w:t>There is no legal basis for hydrogen injection into the gas network in most European countries. Hydrogen cannot be injected into most grids in its pure form; therefore, significant investments are required. In some countries, the initial strategy is to blend hydrogen into the existing natural gas grid.</w:t>
      </w:r>
    </w:p>
    <w:p w14:paraId="37955C41" w14:textId="77777777" w:rsidR="001E7DA3" w:rsidRPr="001E7DA3" w:rsidRDefault="001E7DA3" w:rsidP="00F668C6">
      <w:pPr>
        <w:spacing w:line="276" w:lineRule="auto"/>
        <w:ind w:left="454"/>
        <w:jc w:val="both"/>
        <w:rPr>
          <w:rFonts w:cstheme="minorHAnsi"/>
        </w:rPr>
      </w:pPr>
    </w:p>
    <w:p w14:paraId="78010B18" w14:textId="77777777" w:rsidR="001E7DA3" w:rsidRPr="001E7DA3" w:rsidRDefault="001E7DA3" w:rsidP="00F668C6">
      <w:pPr>
        <w:spacing w:line="276" w:lineRule="auto"/>
        <w:ind w:left="454"/>
        <w:jc w:val="both"/>
        <w:rPr>
          <w:rFonts w:cstheme="minorHAnsi"/>
        </w:rPr>
      </w:pPr>
      <w:r w:rsidRPr="001E7DA3">
        <w:rPr>
          <w:rFonts w:cstheme="minorHAnsi"/>
        </w:rPr>
        <w:t>Hydrogen becomes a critical opportunity for countries that have:</w:t>
      </w:r>
    </w:p>
    <w:p w14:paraId="5B137D9F" w14:textId="77777777" w:rsidR="001E7DA3" w:rsidRPr="001E7DA3" w:rsidRDefault="001E7DA3" w:rsidP="00F668C6">
      <w:pPr>
        <w:pStyle w:val="ListParagraph"/>
        <w:numPr>
          <w:ilvl w:val="0"/>
          <w:numId w:val="13"/>
        </w:numPr>
        <w:spacing w:before="60" w:line="276" w:lineRule="auto"/>
        <w:ind w:left="851" w:hanging="397"/>
        <w:contextualSpacing w:val="0"/>
        <w:jc w:val="both"/>
        <w:rPr>
          <w:rFonts w:asciiTheme="minorHAnsi" w:hAnsiTheme="minorHAnsi" w:cstheme="minorHAnsi"/>
          <w:lang w:val="en-GB"/>
        </w:rPr>
      </w:pPr>
      <w:r w:rsidRPr="001E7DA3">
        <w:rPr>
          <w:rFonts w:asciiTheme="minorHAnsi" w:hAnsiTheme="minorHAnsi" w:cstheme="minorHAnsi"/>
          <w:lang w:val="en-GB"/>
        </w:rPr>
        <w:t>A stable electricity grid and affordable, green, and reliable electricity availability.</w:t>
      </w:r>
    </w:p>
    <w:p w14:paraId="15C717CD" w14:textId="28875AF0" w:rsidR="001E7DA3" w:rsidRPr="001E7DA3" w:rsidRDefault="001E7DA3" w:rsidP="00F668C6">
      <w:pPr>
        <w:pStyle w:val="ListParagraph"/>
        <w:numPr>
          <w:ilvl w:val="0"/>
          <w:numId w:val="13"/>
        </w:numPr>
        <w:spacing w:before="60" w:line="276" w:lineRule="auto"/>
        <w:ind w:left="851" w:hanging="397"/>
        <w:contextualSpacing w:val="0"/>
        <w:jc w:val="both"/>
        <w:rPr>
          <w:rFonts w:asciiTheme="minorHAnsi" w:hAnsiTheme="minorHAnsi" w:cstheme="minorHAnsi"/>
          <w:lang w:val="en-GB"/>
        </w:rPr>
      </w:pPr>
      <w:r w:rsidRPr="001E7DA3">
        <w:rPr>
          <w:rFonts w:asciiTheme="minorHAnsi" w:hAnsiTheme="minorHAnsi" w:cstheme="minorHAnsi"/>
          <w:lang w:val="en-GB"/>
        </w:rPr>
        <w:t xml:space="preserve">Commercially viable onshore wind and </w:t>
      </w:r>
      <w:r w:rsidR="00AE1444" w:rsidRPr="001E7DA3">
        <w:rPr>
          <w:rFonts w:asciiTheme="minorHAnsi" w:hAnsiTheme="minorHAnsi" w:cstheme="minorHAnsi"/>
          <w:lang w:val="en-GB"/>
        </w:rPr>
        <w:t>large-scale</w:t>
      </w:r>
      <w:r w:rsidRPr="001E7DA3">
        <w:rPr>
          <w:rFonts w:asciiTheme="minorHAnsi" w:hAnsiTheme="minorHAnsi" w:cstheme="minorHAnsi"/>
          <w:lang w:val="en-GB"/>
        </w:rPr>
        <w:t xml:space="preserve"> solar projects.</w:t>
      </w:r>
    </w:p>
    <w:p w14:paraId="11E8E18D" w14:textId="77777777" w:rsidR="001E7DA3" w:rsidRPr="001E7DA3" w:rsidRDefault="001E7DA3" w:rsidP="00F668C6">
      <w:pPr>
        <w:pStyle w:val="ListParagraph"/>
        <w:numPr>
          <w:ilvl w:val="0"/>
          <w:numId w:val="13"/>
        </w:numPr>
        <w:spacing w:before="60" w:line="276" w:lineRule="auto"/>
        <w:ind w:left="851" w:hanging="397"/>
        <w:contextualSpacing w:val="0"/>
        <w:jc w:val="both"/>
        <w:rPr>
          <w:rFonts w:asciiTheme="minorHAnsi" w:hAnsiTheme="minorHAnsi" w:cstheme="minorHAnsi"/>
          <w:lang w:val="en-GB"/>
        </w:rPr>
      </w:pPr>
      <w:r w:rsidRPr="001E7DA3">
        <w:rPr>
          <w:rFonts w:asciiTheme="minorHAnsi" w:hAnsiTheme="minorHAnsi" w:cstheme="minorHAnsi"/>
          <w:lang w:val="en-GB"/>
        </w:rPr>
        <w:t>A robust innovation environment, large industrial companies, private-equity funds, and pension funds willing to invest in hydrogen.</w:t>
      </w:r>
    </w:p>
    <w:p w14:paraId="2E219C0A" w14:textId="77777777" w:rsidR="001E7DA3" w:rsidRPr="001E7DA3" w:rsidRDefault="001E7DA3" w:rsidP="00F668C6">
      <w:pPr>
        <w:pStyle w:val="ListParagraph"/>
        <w:numPr>
          <w:ilvl w:val="0"/>
          <w:numId w:val="13"/>
        </w:numPr>
        <w:spacing w:before="60" w:line="276" w:lineRule="auto"/>
        <w:ind w:left="851" w:hanging="397"/>
        <w:contextualSpacing w:val="0"/>
        <w:jc w:val="both"/>
        <w:rPr>
          <w:rFonts w:asciiTheme="minorHAnsi" w:hAnsiTheme="minorHAnsi" w:cstheme="minorHAnsi"/>
          <w:lang w:val="en-GB"/>
        </w:rPr>
      </w:pPr>
      <w:r w:rsidRPr="001E7DA3">
        <w:rPr>
          <w:rFonts w:asciiTheme="minorHAnsi" w:hAnsiTheme="minorHAnsi" w:cstheme="minorHAnsi"/>
          <w:lang w:val="en-GB"/>
        </w:rPr>
        <w:t>Extensive gas infrastructure and the possibility to use depleted natural gas deposits for hydrogen storage.</w:t>
      </w:r>
    </w:p>
    <w:p w14:paraId="5A6BFFDA" w14:textId="77777777" w:rsidR="001E7DA3" w:rsidRPr="006174B3" w:rsidRDefault="001E7DA3" w:rsidP="00F668C6">
      <w:pPr>
        <w:spacing w:line="276" w:lineRule="auto"/>
        <w:ind w:left="454"/>
        <w:jc w:val="both"/>
      </w:pPr>
    </w:p>
    <w:p w14:paraId="7C432E53" w14:textId="77777777" w:rsidR="001E7DA3" w:rsidRPr="006174B3" w:rsidRDefault="001E7DA3" w:rsidP="00F668C6">
      <w:pPr>
        <w:spacing w:line="276" w:lineRule="auto"/>
        <w:ind w:left="454"/>
        <w:jc w:val="both"/>
      </w:pPr>
      <w:r w:rsidRPr="006174B3">
        <w:lastRenderedPageBreak/>
        <w:fldChar w:fldCharType="begin"/>
      </w:r>
      <w:r w:rsidRPr="006174B3">
        <w:instrText xml:space="preserve"> REF _Ref96931658 \h </w:instrText>
      </w:r>
      <w:r>
        <w:instrText xml:space="preserve"> \* MERGEFORMAT </w:instrText>
      </w:r>
      <w:r w:rsidRPr="006174B3">
        <w:fldChar w:fldCharType="separate"/>
      </w:r>
      <w:r w:rsidRPr="00186892">
        <w:rPr>
          <w:b/>
          <w:color w:val="007AAE"/>
        </w:rPr>
        <w:t xml:space="preserve">Figure </w:t>
      </w:r>
      <w:r w:rsidRPr="00186892">
        <w:rPr>
          <w:b/>
          <w:noProof/>
          <w:color w:val="007AAE"/>
        </w:rPr>
        <w:t>8</w:t>
      </w:r>
      <w:r w:rsidRPr="006174B3">
        <w:fldChar w:fldCharType="end"/>
      </w:r>
      <w:r>
        <w:t xml:space="preserve">, </w:t>
      </w:r>
      <w:r w:rsidRPr="006174B3">
        <w:fldChar w:fldCharType="begin"/>
      </w:r>
      <w:r w:rsidRPr="006174B3">
        <w:instrText xml:space="preserve"> REF _Ref96931659 \h </w:instrText>
      </w:r>
      <w:r>
        <w:instrText xml:space="preserve"> \* MERGEFORMAT </w:instrText>
      </w:r>
      <w:r w:rsidRPr="006174B3">
        <w:fldChar w:fldCharType="separate"/>
      </w:r>
      <w:r w:rsidRPr="00186892">
        <w:rPr>
          <w:b/>
          <w:color w:val="007AAE"/>
        </w:rPr>
        <w:t xml:space="preserve">Figure </w:t>
      </w:r>
      <w:r w:rsidRPr="00186892">
        <w:rPr>
          <w:b/>
          <w:noProof/>
          <w:color w:val="007AAE"/>
        </w:rPr>
        <w:t>9</w:t>
      </w:r>
      <w:r w:rsidRPr="006174B3">
        <w:fldChar w:fldCharType="end"/>
      </w:r>
      <w:r>
        <w:t xml:space="preserve"> and </w:t>
      </w:r>
      <w:r w:rsidRPr="006174B3">
        <w:fldChar w:fldCharType="begin"/>
      </w:r>
      <w:r w:rsidRPr="006174B3">
        <w:instrText xml:space="preserve"> REF _Ref96931660 \h </w:instrText>
      </w:r>
      <w:r>
        <w:instrText xml:space="preserve"> \* MERGEFORMAT </w:instrText>
      </w:r>
      <w:r w:rsidRPr="006174B3">
        <w:fldChar w:fldCharType="separate"/>
      </w:r>
      <w:r w:rsidRPr="00186892">
        <w:rPr>
          <w:b/>
          <w:color w:val="007AAE"/>
        </w:rPr>
        <w:t xml:space="preserve">Figure </w:t>
      </w:r>
      <w:r w:rsidRPr="00186892">
        <w:rPr>
          <w:b/>
          <w:noProof/>
          <w:color w:val="007AAE"/>
        </w:rPr>
        <w:t>10</w:t>
      </w:r>
      <w:r w:rsidRPr="006174B3">
        <w:fldChar w:fldCharType="end"/>
      </w:r>
      <w:r>
        <w:t xml:space="preserve"> show the main </w:t>
      </w:r>
      <w:r w:rsidRPr="000248FC">
        <w:t>indicators and objectives included</w:t>
      </w:r>
      <w:r>
        <w:t xml:space="preserve"> in the European Commission a</w:t>
      </w:r>
      <w:r w:rsidRPr="000248FC">
        <w:t xml:space="preserve">ssessment of </w:t>
      </w:r>
      <w:r>
        <w:t>the NECPs, considering greenhouse gas emissions reductions, final and primary energy consumption, and s</w:t>
      </w:r>
      <w:r w:rsidRPr="000248FC">
        <w:t>hare of energy from renewable sources</w:t>
      </w:r>
      <w:r>
        <w:t>.</w:t>
      </w:r>
    </w:p>
    <w:p w14:paraId="38552814" w14:textId="77777777" w:rsidR="001E7DA3" w:rsidRPr="006174B3" w:rsidRDefault="001E7DA3" w:rsidP="00F668C6">
      <w:pPr>
        <w:spacing w:line="276" w:lineRule="auto"/>
        <w:ind w:left="454"/>
        <w:jc w:val="both"/>
      </w:pPr>
    </w:p>
    <w:p w14:paraId="35EF5FE8" w14:textId="77777777" w:rsidR="001E7DA3" w:rsidRPr="00204F68" w:rsidRDefault="001E7DA3" w:rsidP="00F668C6">
      <w:pPr>
        <w:spacing w:line="276" w:lineRule="auto"/>
        <w:ind w:left="454"/>
        <w:jc w:val="both"/>
      </w:pPr>
    </w:p>
    <w:p w14:paraId="3B3F1C8D" w14:textId="77777777" w:rsidR="001E7DA3" w:rsidRPr="00204F68" w:rsidRDefault="001E7DA3" w:rsidP="00F668C6">
      <w:pPr>
        <w:keepNext/>
        <w:spacing w:line="276" w:lineRule="auto"/>
        <w:jc w:val="both"/>
      </w:pPr>
      <w:r w:rsidRPr="00204F68">
        <w:rPr>
          <w:noProof/>
        </w:rPr>
        <w:drawing>
          <wp:inline distT="0" distB="0" distL="0" distR="0" wp14:anchorId="5BAE431C" wp14:editId="475166E8">
            <wp:extent cx="5400000" cy="240309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0000" cy="2403099"/>
                    </a:xfrm>
                    <a:prstGeom prst="rect">
                      <a:avLst/>
                    </a:prstGeom>
                    <a:noFill/>
                  </pic:spPr>
                </pic:pic>
              </a:graphicData>
            </a:graphic>
          </wp:inline>
        </w:drawing>
      </w:r>
    </w:p>
    <w:p w14:paraId="7F371BD2" w14:textId="104B4798" w:rsidR="001E7DA3" w:rsidRPr="00204F68" w:rsidRDefault="001E7DA3" w:rsidP="00F668C6">
      <w:pPr>
        <w:spacing w:before="120" w:line="276" w:lineRule="auto"/>
        <w:ind w:left="2552" w:right="1134" w:hanging="1418"/>
        <w:jc w:val="both"/>
        <w:rPr>
          <w:bCs/>
          <w:sz w:val="18"/>
          <w:szCs w:val="18"/>
        </w:rPr>
      </w:pPr>
      <w:bookmarkStart w:id="44" w:name="_Ref96931658"/>
      <w:r w:rsidRPr="00204F68">
        <w:rPr>
          <w:b/>
          <w:color w:val="007AAE"/>
          <w:sz w:val="18"/>
          <w:szCs w:val="18"/>
        </w:rPr>
        <w:t xml:space="preserve">Figure </w:t>
      </w:r>
      <w:r w:rsidRPr="00204F68">
        <w:rPr>
          <w:b/>
          <w:color w:val="007AAE"/>
          <w:sz w:val="18"/>
          <w:szCs w:val="18"/>
        </w:rPr>
        <w:fldChar w:fldCharType="begin"/>
      </w:r>
      <w:r w:rsidRPr="00204F68">
        <w:rPr>
          <w:b/>
          <w:color w:val="007AAE"/>
          <w:sz w:val="18"/>
          <w:szCs w:val="18"/>
        </w:rPr>
        <w:instrText xml:space="preserve"> SEQ Figure \* ARABIC </w:instrText>
      </w:r>
      <w:r w:rsidRPr="00204F68">
        <w:rPr>
          <w:b/>
          <w:color w:val="007AAE"/>
          <w:sz w:val="18"/>
          <w:szCs w:val="18"/>
        </w:rPr>
        <w:fldChar w:fldCharType="separate"/>
      </w:r>
      <w:r w:rsidR="00EF1E54">
        <w:rPr>
          <w:b/>
          <w:noProof/>
          <w:color w:val="007AAE"/>
          <w:sz w:val="18"/>
          <w:szCs w:val="18"/>
        </w:rPr>
        <w:t>8</w:t>
      </w:r>
      <w:r w:rsidRPr="00204F68">
        <w:rPr>
          <w:b/>
          <w:color w:val="007AAE"/>
          <w:sz w:val="18"/>
          <w:szCs w:val="18"/>
        </w:rPr>
        <w:fldChar w:fldCharType="end"/>
      </w:r>
      <w:bookmarkEnd w:id="44"/>
      <w:r w:rsidRPr="00204F68">
        <w:rPr>
          <w:bCs/>
          <w:sz w:val="18"/>
          <w:szCs w:val="18"/>
        </w:rPr>
        <w:t>.-</w:t>
      </w:r>
      <w:r w:rsidRPr="00204F68">
        <w:rPr>
          <w:b/>
          <w:sz w:val="18"/>
          <w:szCs w:val="18"/>
        </w:rPr>
        <w:tab/>
      </w:r>
      <w:r w:rsidRPr="00204F68">
        <w:rPr>
          <w:bCs/>
          <w:sz w:val="18"/>
          <w:szCs w:val="18"/>
        </w:rPr>
        <w:t>Target for greenhouse gas emissions reductions in 2030 compared to 2005, under the Effort Sharing Regulation (ESR) (%). Source: Own elaboration.</w:t>
      </w:r>
    </w:p>
    <w:p w14:paraId="003335E3" w14:textId="77777777" w:rsidR="001E7DA3" w:rsidRPr="00204F68" w:rsidRDefault="001E7DA3" w:rsidP="00F668C6">
      <w:pPr>
        <w:spacing w:line="276" w:lineRule="auto"/>
        <w:ind w:left="454"/>
        <w:jc w:val="both"/>
      </w:pPr>
    </w:p>
    <w:p w14:paraId="47A6FCD6" w14:textId="77777777" w:rsidR="001E7DA3" w:rsidRPr="00204F68" w:rsidRDefault="001E7DA3" w:rsidP="00F668C6">
      <w:pPr>
        <w:spacing w:line="276" w:lineRule="auto"/>
        <w:ind w:left="454"/>
        <w:jc w:val="both"/>
      </w:pPr>
    </w:p>
    <w:p w14:paraId="6C3E807F" w14:textId="77777777" w:rsidR="001E7DA3" w:rsidRPr="00204F68" w:rsidRDefault="001E7DA3" w:rsidP="00F668C6">
      <w:pPr>
        <w:keepNext/>
        <w:spacing w:line="276" w:lineRule="auto"/>
        <w:jc w:val="both"/>
      </w:pPr>
      <w:r w:rsidRPr="00204F68">
        <w:rPr>
          <w:noProof/>
        </w:rPr>
        <w:drawing>
          <wp:inline distT="0" distB="0" distL="0" distR="0" wp14:anchorId="18E5B50A" wp14:editId="3F5F038B">
            <wp:extent cx="5400000" cy="2398871"/>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00000" cy="2398871"/>
                    </a:xfrm>
                    <a:prstGeom prst="rect">
                      <a:avLst/>
                    </a:prstGeom>
                    <a:noFill/>
                  </pic:spPr>
                </pic:pic>
              </a:graphicData>
            </a:graphic>
          </wp:inline>
        </w:drawing>
      </w:r>
    </w:p>
    <w:p w14:paraId="34D47FCC" w14:textId="05EAA753" w:rsidR="001E7DA3" w:rsidRPr="00204F68" w:rsidRDefault="001E7DA3" w:rsidP="00F668C6">
      <w:pPr>
        <w:spacing w:before="120" w:line="276" w:lineRule="auto"/>
        <w:ind w:left="2552" w:right="1134" w:hanging="1418"/>
        <w:jc w:val="both"/>
        <w:rPr>
          <w:bCs/>
          <w:sz w:val="18"/>
          <w:szCs w:val="18"/>
        </w:rPr>
      </w:pPr>
      <w:bookmarkStart w:id="45" w:name="_Ref96931659"/>
      <w:r w:rsidRPr="00204F68">
        <w:rPr>
          <w:b/>
          <w:color w:val="007AAE"/>
          <w:sz w:val="18"/>
          <w:szCs w:val="18"/>
        </w:rPr>
        <w:t xml:space="preserve">Figure </w:t>
      </w:r>
      <w:r w:rsidRPr="00204F68">
        <w:rPr>
          <w:b/>
          <w:color w:val="007AAE"/>
          <w:sz w:val="18"/>
          <w:szCs w:val="18"/>
        </w:rPr>
        <w:fldChar w:fldCharType="begin"/>
      </w:r>
      <w:r w:rsidRPr="00204F68">
        <w:rPr>
          <w:b/>
          <w:color w:val="007AAE"/>
          <w:sz w:val="18"/>
          <w:szCs w:val="18"/>
        </w:rPr>
        <w:instrText xml:space="preserve"> SEQ Figure \* ARABIC </w:instrText>
      </w:r>
      <w:r w:rsidRPr="00204F68">
        <w:rPr>
          <w:b/>
          <w:color w:val="007AAE"/>
          <w:sz w:val="18"/>
          <w:szCs w:val="18"/>
        </w:rPr>
        <w:fldChar w:fldCharType="separate"/>
      </w:r>
      <w:r w:rsidR="00EF1E54">
        <w:rPr>
          <w:b/>
          <w:noProof/>
          <w:color w:val="007AAE"/>
          <w:sz w:val="18"/>
          <w:szCs w:val="18"/>
        </w:rPr>
        <w:t>9</w:t>
      </w:r>
      <w:r w:rsidRPr="00204F68">
        <w:rPr>
          <w:b/>
          <w:color w:val="007AAE"/>
          <w:sz w:val="18"/>
          <w:szCs w:val="18"/>
        </w:rPr>
        <w:fldChar w:fldCharType="end"/>
      </w:r>
      <w:bookmarkEnd w:id="45"/>
      <w:r w:rsidRPr="00204F68">
        <w:rPr>
          <w:bCs/>
          <w:sz w:val="18"/>
          <w:szCs w:val="18"/>
        </w:rPr>
        <w:t>.-</w:t>
      </w:r>
      <w:r w:rsidRPr="00204F68">
        <w:rPr>
          <w:b/>
          <w:sz w:val="18"/>
          <w:szCs w:val="18"/>
        </w:rPr>
        <w:tab/>
      </w:r>
      <w:r w:rsidRPr="00204F68">
        <w:rPr>
          <w:bCs/>
          <w:sz w:val="18"/>
          <w:szCs w:val="18"/>
        </w:rPr>
        <w:t>Final and primary energy consumption estimated in 2030. Source: Own elaboration.</w:t>
      </w:r>
    </w:p>
    <w:p w14:paraId="57379218" w14:textId="77777777" w:rsidR="001E7DA3" w:rsidRPr="00204F68" w:rsidRDefault="001E7DA3" w:rsidP="00F668C6">
      <w:pPr>
        <w:spacing w:line="276" w:lineRule="auto"/>
        <w:ind w:left="454"/>
        <w:jc w:val="both"/>
      </w:pPr>
    </w:p>
    <w:p w14:paraId="09EC8C85" w14:textId="77777777" w:rsidR="001E7DA3" w:rsidRPr="00204F68" w:rsidRDefault="001E7DA3" w:rsidP="00F668C6">
      <w:pPr>
        <w:spacing w:line="276" w:lineRule="auto"/>
        <w:ind w:left="454"/>
        <w:jc w:val="both"/>
      </w:pPr>
    </w:p>
    <w:p w14:paraId="52D79013" w14:textId="77777777" w:rsidR="001E7DA3" w:rsidRPr="00204F68" w:rsidRDefault="001E7DA3" w:rsidP="00F668C6">
      <w:pPr>
        <w:keepNext/>
        <w:spacing w:line="276" w:lineRule="auto"/>
        <w:jc w:val="both"/>
      </w:pPr>
      <w:r w:rsidRPr="00204F68">
        <w:rPr>
          <w:noProof/>
        </w:rPr>
        <w:lastRenderedPageBreak/>
        <w:drawing>
          <wp:inline distT="0" distB="0" distL="0" distR="0" wp14:anchorId="3B17CD34" wp14:editId="1B281856">
            <wp:extent cx="5400000" cy="2398871"/>
            <wp:effectExtent l="0" t="0" r="0" b="190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00000" cy="2398871"/>
                    </a:xfrm>
                    <a:prstGeom prst="rect">
                      <a:avLst/>
                    </a:prstGeom>
                    <a:noFill/>
                  </pic:spPr>
                </pic:pic>
              </a:graphicData>
            </a:graphic>
          </wp:inline>
        </w:drawing>
      </w:r>
    </w:p>
    <w:p w14:paraId="32BF06DD" w14:textId="253A3618" w:rsidR="001E7DA3" w:rsidRPr="00204F68" w:rsidRDefault="001E7DA3" w:rsidP="00F668C6">
      <w:pPr>
        <w:spacing w:before="120" w:line="276" w:lineRule="auto"/>
        <w:ind w:left="2552" w:right="1134" w:hanging="1418"/>
        <w:jc w:val="both"/>
        <w:rPr>
          <w:bCs/>
          <w:sz w:val="18"/>
          <w:szCs w:val="18"/>
        </w:rPr>
      </w:pPr>
      <w:bookmarkStart w:id="46" w:name="_Ref96931660"/>
      <w:r w:rsidRPr="00204F68">
        <w:rPr>
          <w:b/>
          <w:color w:val="007AAE"/>
          <w:sz w:val="18"/>
          <w:szCs w:val="18"/>
        </w:rPr>
        <w:t xml:space="preserve">Figure </w:t>
      </w:r>
      <w:r w:rsidRPr="00204F68">
        <w:rPr>
          <w:b/>
          <w:color w:val="007AAE"/>
          <w:sz w:val="18"/>
          <w:szCs w:val="18"/>
        </w:rPr>
        <w:fldChar w:fldCharType="begin"/>
      </w:r>
      <w:r w:rsidRPr="00204F68">
        <w:rPr>
          <w:b/>
          <w:color w:val="007AAE"/>
          <w:sz w:val="18"/>
          <w:szCs w:val="18"/>
        </w:rPr>
        <w:instrText xml:space="preserve"> SEQ Figure \* ARABIC </w:instrText>
      </w:r>
      <w:r w:rsidRPr="00204F68">
        <w:rPr>
          <w:b/>
          <w:color w:val="007AAE"/>
          <w:sz w:val="18"/>
          <w:szCs w:val="18"/>
        </w:rPr>
        <w:fldChar w:fldCharType="separate"/>
      </w:r>
      <w:r w:rsidR="00EF1E54">
        <w:rPr>
          <w:b/>
          <w:noProof/>
          <w:color w:val="007AAE"/>
          <w:sz w:val="18"/>
          <w:szCs w:val="18"/>
        </w:rPr>
        <w:t>10</w:t>
      </w:r>
      <w:r w:rsidRPr="00204F68">
        <w:rPr>
          <w:b/>
          <w:color w:val="007AAE"/>
          <w:sz w:val="18"/>
          <w:szCs w:val="18"/>
        </w:rPr>
        <w:fldChar w:fldCharType="end"/>
      </w:r>
      <w:bookmarkEnd w:id="46"/>
      <w:r w:rsidRPr="00204F68">
        <w:rPr>
          <w:bCs/>
          <w:sz w:val="18"/>
          <w:szCs w:val="18"/>
        </w:rPr>
        <w:t>.-</w:t>
      </w:r>
      <w:r w:rsidRPr="00204F68">
        <w:rPr>
          <w:b/>
          <w:sz w:val="18"/>
          <w:szCs w:val="18"/>
        </w:rPr>
        <w:tab/>
      </w:r>
      <w:r w:rsidRPr="00204F68">
        <w:rPr>
          <w:bCs/>
          <w:sz w:val="18"/>
          <w:szCs w:val="18"/>
        </w:rPr>
        <w:t xml:space="preserve">Share of energy from renewable sources </w:t>
      </w:r>
      <w:r>
        <w:rPr>
          <w:bCs/>
          <w:sz w:val="18"/>
          <w:szCs w:val="18"/>
        </w:rPr>
        <w:t xml:space="preserve">in final gross consumption </w:t>
      </w:r>
      <w:r w:rsidRPr="00204F68">
        <w:rPr>
          <w:bCs/>
          <w:sz w:val="18"/>
          <w:szCs w:val="18"/>
        </w:rPr>
        <w:t>estimated in 2030. Source: Own elaboration.</w:t>
      </w:r>
    </w:p>
    <w:p w14:paraId="25B6BA0B" w14:textId="77777777" w:rsidR="001E7DA3" w:rsidRPr="00204F68" w:rsidRDefault="001E7DA3" w:rsidP="0068038F">
      <w:pPr>
        <w:spacing w:line="276" w:lineRule="auto"/>
        <w:jc w:val="both"/>
      </w:pPr>
    </w:p>
    <w:p w14:paraId="7C0F2768" w14:textId="63ADCFA7" w:rsidR="004A3ED2" w:rsidRDefault="004A3ED2" w:rsidP="00F668C6">
      <w:pPr>
        <w:pStyle w:val="Heading1"/>
        <w:jc w:val="both"/>
      </w:pPr>
      <w:bookmarkStart w:id="47" w:name="_Toc121830944"/>
      <w:r>
        <w:t>5. METERING TECHNOLOG</w:t>
      </w:r>
      <w:r w:rsidR="00BC19B8">
        <w:t>IES</w:t>
      </w:r>
      <w:r>
        <w:t xml:space="preserve"> REVIEW</w:t>
      </w:r>
      <w:bookmarkEnd w:id="47"/>
      <w:r>
        <w:t xml:space="preserve"> </w:t>
      </w:r>
    </w:p>
    <w:p w14:paraId="41400860" w14:textId="77777777" w:rsidR="00BC19B8" w:rsidRDefault="00BC19B8" w:rsidP="00F668C6">
      <w:pPr>
        <w:jc w:val="both"/>
      </w:pPr>
    </w:p>
    <w:p w14:paraId="17C4330E" w14:textId="508E2A8F" w:rsidR="004A3ED2" w:rsidRPr="0042603A" w:rsidRDefault="00BC19B8" w:rsidP="0042603A">
      <w:pPr>
        <w:spacing w:line="276" w:lineRule="auto"/>
        <w:jc w:val="both"/>
      </w:pPr>
      <w:r w:rsidRPr="0042603A">
        <w:t>This section describes the current state of art in flow metrology for hydrogen and hydrogen/natural gas blends. It first describes the physical properties models that are required for assessment of flow meters. Then it provides an overview of the current available data on the response of flow meters to higher levels of hydrogen from small-scale meters (domestic applications) and large-scale meters (transmission and distribution networks).</w:t>
      </w:r>
    </w:p>
    <w:p w14:paraId="3063D9A9" w14:textId="725A0A6B" w:rsidR="004A3ED2" w:rsidRDefault="00BC19B8" w:rsidP="00F668C6">
      <w:pPr>
        <w:pStyle w:val="Heading2"/>
        <w:jc w:val="both"/>
      </w:pPr>
      <w:bookmarkStart w:id="48" w:name="_Toc121830945"/>
      <w:r>
        <w:t>5.1 PHYSICAL PROPERTY MODELS</w:t>
      </w:r>
      <w:bookmarkEnd w:id="48"/>
    </w:p>
    <w:p w14:paraId="2C2216F9" w14:textId="4507738C" w:rsidR="00BC19B8" w:rsidRPr="0042603A" w:rsidRDefault="00BC19B8" w:rsidP="0042603A">
      <w:pPr>
        <w:spacing w:line="276" w:lineRule="auto"/>
        <w:jc w:val="both"/>
      </w:pPr>
      <w:r w:rsidRPr="0042603A">
        <w:t>The physical properties that are relevant from a metrology perspective are density, viscosity, speed of sound and isentropic exponent. The most used models for the calculation of these physical properties were developed and published by standards organization or gas research groups (ISO, AGA, GERG). In this section we will concentrate on industry standard methods and tools that are currently used for the calculation of these properties. Also</w:t>
      </w:r>
      <w:r w:rsidR="0068038F" w:rsidRPr="0042603A">
        <w:t>,</w:t>
      </w:r>
      <w:r w:rsidRPr="0042603A">
        <w:t xml:space="preserve"> the focus will be on the range of interest for the project, meaning close to ambient temperatures and pressures up to 50 bar</w:t>
      </w:r>
      <w:r w:rsidR="00D1671E" w:rsidRPr="0042603A">
        <w:t xml:space="preserve"> (current pressure limit of flow test facilities)</w:t>
      </w:r>
      <w:r w:rsidRPr="0042603A">
        <w:t>.</w:t>
      </w:r>
    </w:p>
    <w:p w14:paraId="28F5E0E5" w14:textId="77777777" w:rsidR="00887037" w:rsidRPr="0042603A" w:rsidRDefault="00BC19B8" w:rsidP="0042603A">
      <w:pPr>
        <w:spacing w:line="276" w:lineRule="auto"/>
        <w:jc w:val="both"/>
      </w:pPr>
      <w:r w:rsidRPr="0042603A">
        <w:t xml:space="preserve">The density is required for the conversion of mass to volume </w:t>
      </w:r>
      <w:r w:rsidR="00483244" w:rsidRPr="0042603A">
        <w:t xml:space="preserve">(and vice versa) </w:t>
      </w:r>
      <w:r w:rsidRPr="0042603A">
        <w:t xml:space="preserve">and for some metering technology as an input for the Reynolds number for compensation of the Reynolds response of the meter. </w:t>
      </w:r>
    </w:p>
    <w:p w14:paraId="47FA465E" w14:textId="77777777" w:rsidR="00887037" w:rsidRPr="0042603A" w:rsidRDefault="00BC19B8" w:rsidP="0042603A">
      <w:pPr>
        <w:spacing w:line="276" w:lineRule="auto"/>
        <w:jc w:val="both"/>
      </w:pPr>
      <w:r w:rsidRPr="0042603A">
        <w:t xml:space="preserve">The speed of sound is mainly required for sonic nozzles which can be used as secondary references and is a valuable diagnostic for comparison with the speed of sound measurement of ultrasonic meters. Also, other technologies, like Coriolis and turbine meters, may have a compressibility correction based on speed of sound. </w:t>
      </w:r>
    </w:p>
    <w:p w14:paraId="30F8C3E4" w14:textId="77777777" w:rsidR="00CB7920" w:rsidRPr="0042603A" w:rsidRDefault="00BC19B8" w:rsidP="0042603A">
      <w:pPr>
        <w:spacing w:line="276" w:lineRule="auto"/>
        <w:jc w:val="both"/>
      </w:pPr>
      <w:r w:rsidRPr="0042603A">
        <w:t xml:space="preserve">The isentropic exponent is relevant for measurement devices that generate differential pressure, </w:t>
      </w:r>
      <w:proofErr w:type="gramStart"/>
      <w:r w:rsidRPr="0042603A">
        <w:t>e.g.</w:t>
      </w:r>
      <w:proofErr w:type="gramEnd"/>
      <w:r w:rsidRPr="0042603A">
        <w:t xml:space="preserve"> orifice plates and Venturi tubes and may be used in the calculations for sonic nozzles. The isentropic coefficient is a derived variable (meaning it can be written in terms of the pressure, </w:t>
      </w:r>
      <w:proofErr w:type="gramStart"/>
      <w:r w:rsidRPr="0042603A">
        <w:t>density</w:t>
      </w:r>
      <w:proofErr w:type="gramEnd"/>
      <w:r w:rsidRPr="0042603A">
        <w:t xml:space="preserve"> and speed of sound) and will therefore not be treated separately. </w:t>
      </w:r>
    </w:p>
    <w:p w14:paraId="248B23DD" w14:textId="0227190D" w:rsidR="00887037" w:rsidRPr="0042603A" w:rsidRDefault="00BC19B8" w:rsidP="0042603A">
      <w:pPr>
        <w:spacing w:line="276" w:lineRule="auto"/>
        <w:jc w:val="both"/>
      </w:pPr>
      <w:r w:rsidRPr="0042603A">
        <w:t xml:space="preserve">For the </w:t>
      </w:r>
      <w:proofErr w:type="gramStart"/>
      <w:r w:rsidRPr="0042603A">
        <w:t>aforementioned Reynolds</w:t>
      </w:r>
      <w:proofErr w:type="gramEnd"/>
      <w:r w:rsidRPr="0042603A">
        <w:t xml:space="preserve"> compensation, also the viscosity is required. </w:t>
      </w:r>
    </w:p>
    <w:p w14:paraId="313E9FFD" w14:textId="77777777" w:rsidR="00887037" w:rsidRPr="00887037" w:rsidRDefault="00887037" w:rsidP="00887037">
      <w:pPr>
        <w:pStyle w:val="BodyText"/>
        <w:jc w:val="both"/>
        <w:rPr>
          <w:lang w:val="en-US"/>
        </w:rPr>
      </w:pPr>
    </w:p>
    <w:p w14:paraId="3BEE16B0" w14:textId="3FD768D0" w:rsidR="00BC19B8" w:rsidRDefault="00BC19B8" w:rsidP="00F668C6">
      <w:pPr>
        <w:pStyle w:val="Heading3"/>
        <w:jc w:val="both"/>
        <w:rPr>
          <w:rFonts w:eastAsiaTheme="minorEastAsia"/>
          <w:lang w:val="en-US"/>
        </w:rPr>
      </w:pPr>
      <w:bookmarkStart w:id="49" w:name="_Toc121830946"/>
      <w:r>
        <w:t xml:space="preserve">5.1.1 </w:t>
      </w:r>
      <w:r w:rsidR="001E0DD6">
        <w:rPr>
          <w:rFonts w:eastAsiaTheme="minorEastAsia"/>
          <w:lang w:val="en-US"/>
        </w:rPr>
        <w:t>DENSITY/COMPRESSIBILITY FACTOR</w:t>
      </w:r>
      <w:bookmarkEnd w:id="49"/>
      <w:r w:rsidR="001E0DD6">
        <w:rPr>
          <w:rFonts w:eastAsiaTheme="minorEastAsia"/>
          <w:lang w:val="en-US"/>
        </w:rPr>
        <w:t xml:space="preserve"> </w:t>
      </w:r>
    </w:p>
    <w:p w14:paraId="1BA6BDF9" w14:textId="332C2C67" w:rsidR="00BC19B8" w:rsidRPr="0042603A" w:rsidRDefault="00BC19B8" w:rsidP="00F668C6">
      <w:pPr>
        <w:pStyle w:val="BodyText"/>
        <w:jc w:val="both"/>
        <w:rPr>
          <w:rFonts w:asciiTheme="minorHAnsi" w:hAnsiTheme="minorHAnsi" w:cstheme="minorHAnsi"/>
          <w:sz w:val="20"/>
          <w:szCs w:val="20"/>
          <w:lang w:val="en-US"/>
        </w:rPr>
      </w:pPr>
      <w:r w:rsidRPr="0042603A">
        <w:rPr>
          <w:rFonts w:asciiTheme="minorHAnsi" w:hAnsiTheme="minorHAnsi" w:cstheme="minorHAnsi"/>
          <w:sz w:val="20"/>
          <w:szCs w:val="20"/>
          <w:lang w:val="en-US"/>
        </w:rPr>
        <w:t>Models for calculation of the thermodynamic properties can originate from the definition of a thermodynamical potential (</w:t>
      </w:r>
      <w:proofErr w:type="gramStart"/>
      <w:r w:rsidRPr="0042603A">
        <w:rPr>
          <w:rFonts w:asciiTheme="minorHAnsi" w:hAnsiTheme="minorHAnsi" w:cstheme="minorHAnsi"/>
          <w:sz w:val="20"/>
          <w:szCs w:val="20"/>
          <w:lang w:val="en-US"/>
        </w:rPr>
        <w:t>e.g.</w:t>
      </w:r>
      <w:proofErr w:type="gramEnd"/>
      <w:r w:rsidRPr="0042603A">
        <w:rPr>
          <w:rFonts w:asciiTheme="minorHAnsi" w:hAnsiTheme="minorHAnsi" w:cstheme="minorHAnsi"/>
          <w:sz w:val="20"/>
          <w:szCs w:val="20"/>
          <w:lang w:val="en-US"/>
        </w:rPr>
        <w:t xml:space="preserve"> Helmholtz free energy in the GERG-2008) or from an equation of state in terms of the </w:t>
      </w:r>
      <w:r w:rsidRPr="0042603A">
        <w:rPr>
          <w:rFonts w:asciiTheme="minorHAnsi" w:hAnsiTheme="minorHAnsi" w:cstheme="minorHAnsi"/>
          <w:sz w:val="20"/>
          <w:szCs w:val="20"/>
          <w:lang w:val="en-US"/>
        </w:rPr>
        <w:lastRenderedPageBreak/>
        <w:t>compressibility factor (e.g. combined virial/</w:t>
      </w:r>
      <w:r w:rsidR="0044541B" w:rsidRPr="0042603A">
        <w:rPr>
          <w:rFonts w:asciiTheme="minorHAnsi" w:hAnsiTheme="minorHAnsi" w:cstheme="minorHAnsi"/>
          <w:sz w:val="20"/>
          <w:szCs w:val="20"/>
          <w:lang w:val="en-US"/>
        </w:rPr>
        <w:t>Benedict–Webb–Rubin (</w:t>
      </w:r>
      <w:r w:rsidRPr="0042603A">
        <w:rPr>
          <w:rFonts w:asciiTheme="minorHAnsi" w:hAnsiTheme="minorHAnsi" w:cstheme="minorHAnsi"/>
          <w:sz w:val="20"/>
          <w:szCs w:val="20"/>
          <w:lang w:val="en-US"/>
        </w:rPr>
        <w:t>BWR</w:t>
      </w:r>
      <w:r w:rsidR="0044541B" w:rsidRPr="0042603A">
        <w:rPr>
          <w:rFonts w:asciiTheme="minorHAnsi" w:hAnsiTheme="minorHAnsi" w:cstheme="minorHAnsi"/>
          <w:sz w:val="20"/>
          <w:szCs w:val="20"/>
          <w:lang w:val="en-US"/>
        </w:rPr>
        <w:t>)</w:t>
      </w:r>
      <w:r w:rsidRPr="0042603A">
        <w:rPr>
          <w:rFonts w:asciiTheme="minorHAnsi" w:hAnsiTheme="minorHAnsi" w:cstheme="minorHAnsi"/>
          <w:sz w:val="20"/>
          <w:szCs w:val="20"/>
          <w:lang w:val="en-US"/>
        </w:rPr>
        <w:t xml:space="preserve"> equation of state as used in the AGA8-DC92). Once these functions are known, the required physical properties as required in this section can be derived. </w:t>
      </w:r>
    </w:p>
    <w:p w14:paraId="66D2AE0E" w14:textId="5FBFF609" w:rsidR="00BC19B8" w:rsidRPr="0042603A" w:rsidRDefault="00BC19B8" w:rsidP="00F668C6">
      <w:pPr>
        <w:pStyle w:val="BodyText"/>
        <w:jc w:val="both"/>
        <w:rPr>
          <w:rFonts w:asciiTheme="minorHAnsi" w:hAnsiTheme="minorHAnsi" w:cstheme="minorHAnsi"/>
          <w:sz w:val="20"/>
          <w:szCs w:val="20"/>
          <w:lang w:val="en-US"/>
        </w:rPr>
      </w:pPr>
      <w:r w:rsidRPr="0042603A">
        <w:rPr>
          <w:rFonts w:asciiTheme="minorHAnsi" w:hAnsiTheme="minorHAnsi" w:cstheme="minorHAnsi"/>
          <w:sz w:val="20"/>
          <w:szCs w:val="20"/>
          <w:lang w:val="en-US"/>
        </w:rPr>
        <w:t>The GERG-2008 is explicit in the Helmholtz free energy as a function of density, temperature, and composition</w:t>
      </w:r>
      <w:r w:rsidR="00BC0CC1" w:rsidRPr="0042603A">
        <w:rPr>
          <w:rFonts w:asciiTheme="minorHAnsi" w:hAnsiTheme="minorHAnsi" w:cstheme="minorHAnsi"/>
          <w:sz w:val="20"/>
          <w:szCs w:val="20"/>
          <w:lang w:val="en-US"/>
        </w:rPr>
        <w:t xml:space="preserve"> </w:t>
      </w:r>
      <w:r w:rsidR="00BC0CC1" w:rsidRPr="0042603A">
        <w:rPr>
          <w:rFonts w:asciiTheme="minorHAnsi" w:eastAsiaTheme="minorHAnsi" w:hAnsiTheme="minorHAnsi" w:cstheme="minorHAnsi"/>
          <w:b/>
          <w:color w:val="007AAE"/>
          <w:sz w:val="20"/>
          <w:szCs w:val="20"/>
          <w:lang w:eastAsia="en-US"/>
        </w:rPr>
        <w:t>[29]</w:t>
      </w:r>
      <w:r w:rsidRPr="0042603A">
        <w:rPr>
          <w:rFonts w:asciiTheme="minorHAnsi" w:hAnsiTheme="minorHAnsi" w:cstheme="minorHAnsi"/>
          <w:sz w:val="20"/>
          <w:szCs w:val="20"/>
          <w:lang w:val="en-US"/>
        </w:rPr>
        <w:t>. The method was adopted in the ISO 20765</w:t>
      </w:r>
      <w:r w:rsidR="00BC0CC1" w:rsidRPr="0042603A">
        <w:rPr>
          <w:rFonts w:asciiTheme="minorHAnsi" w:hAnsiTheme="minorHAnsi" w:cstheme="minorHAnsi"/>
          <w:sz w:val="20"/>
          <w:szCs w:val="20"/>
          <w:lang w:val="en-US"/>
        </w:rPr>
        <w:t xml:space="preserve"> </w:t>
      </w:r>
      <w:r w:rsidR="00BC0CC1" w:rsidRPr="0042603A">
        <w:rPr>
          <w:rFonts w:asciiTheme="minorHAnsi" w:hAnsiTheme="minorHAnsi" w:cstheme="minorHAnsi"/>
          <w:b/>
          <w:bCs/>
          <w:color w:val="4472C4" w:themeColor="accent1"/>
          <w:sz w:val="20"/>
          <w:szCs w:val="20"/>
          <w:lang w:val="en-US"/>
        </w:rPr>
        <w:t>[28]</w:t>
      </w:r>
      <w:r w:rsidRPr="0042603A">
        <w:rPr>
          <w:rFonts w:asciiTheme="minorHAnsi" w:hAnsiTheme="minorHAnsi" w:cstheme="minorHAnsi"/>
          <w:sz w:val="20"/>
          <w:szCs w:val="20"/>
          <w:lang w:val="en-US"/>
        </w:rPr>
        <w:t xml:space="preserve">. One of the </w:t>
      </w:r>
      <w:r w:rsidR="00237C38" w:rsidRPr="0042603A">
        <w:rPr>
          <w:rFonts w:asciiTheme="minorHAnsi" w:hAnsiTheme="minorHAnsi" w:cstheme="minorHAnsi"/>
          <w:sz w:val="20"/>
          <w:szCs w:val="20"/>
          <w:lang w:val="en-US"/>
        </w:rPr>
        <w:t xml:space="preserve">general </w:t>
      </w:r>
      <w:r w:rsidRPr="0042603A">
        <w:rPr>
          <w:rFonts w:asciiTheme="minorHAnsi" w:hAnsiTheme="minorHAnsi" w:cstheme="minorHAnsi"/>
          <w:sz w:val="20"/>
          <w:szCs w:val="20"/>
          <w:lang w:val="en-US"/>
        </w:rPr>
        <w:t>advantages of the definition of the equation state in terms of a thermodynamic potential is that also phase equilibrium and properties for liquid/dense phase can be calculated. The GERG-2008 is generally considered to be an improvement of the AGA8-DC92 equation of state, able to cover a wider range of applications. The data for pure hydrogen in the GERG-2008 is based on equilibrium hydrogen, which can be considered equal as normal hydrogen for the relevant test range of th</w:t>
      </w:r>
      <w:r w:rsidR="00754787" w:rsidRPr="0042603A">
        <w:rPr>
          <w:rFonts w:asciiTheme="minorHAnsi" w:hAnsiTheme="minorHAnsi" w:cstheme="minorHAnsi"/>
          <w:sz w:val="20"/>
          <w:szCs w:val="20"/>
          <w:lang w:val="en-US"/>
        </w:rPr>
        <w:t>is</w:t>
      </w:r>
      <w:r w:rsidRPr="0042603A">
        <w:rPr>
          <w:rFonts w:asciiTheme="minorHAnsi" w:hAnsiTheme="minorHAnsi" w:cstheme="minorHAnsi"/>
          <w:sz w:val="20"/>
          <w:szCs w:val="20"/>
          <w:lang w:val="en-US"/>
        </w:rPr>
        <w:t xml:space="preserve"> project. For the mixture of methane and hydrogen a specific departure function is used due to the extensive experimental data sets available. This increases the confidence in using the GERG-2008 for natural gas-hydrogen mixtures. Summarizing the density uncertainty claims in the ISO 20765 in the application range of the project for 100</w:t>
      </w:r>
      <w:r w:rsidR="001F5642" w:rsidRPr="0042603A">
        <w:rPr>
          <w:rFonts w:asciiTheme="minorHAnsi" w:hAnsiTheme="minorHAnsi" w:cstheme="minorHAnsi"/>
          <w:sz w:val="20"/>
          <w:szCs w:val="20"/>
          <w:lang w:val="en-US"/>
        </w:rPr>
        <w:t xml:space="preserve"> </w:t>
      </w:r>
      <w:r w:rsidRPr="0042603A">
        <w:rPr>
          <w:rFonts w:asciiTheme="minorHAnsi" w:hAnsiTheme="minorHAnsi" w:cstheme="minorHAnsi"/>
          <w:sz w:val="20"/>
          <w:szCs w:val="20"/>
          <w:lang w:val="en-US"/>
        </w:rPr>
        <w:t>% hydrogen and binary mixtures of methane-hydrogen (up to 40</w:t>
      </w:r>
      <w:r w:rsidR="001F5642" w:rsidRPr="0042603A">
        <w:rPr>
          <w:rFonts w:asciiTheme="minorHAnsi" w:hAnsiTheme="minorHAnsi" w:cstheme="minorHAnsi"/>
          <w:sz w:val="20"/>
          <w:szCs w:val="20"/>
          <w:lang w:val="en-US"/>
        </w:rPr>
        <w:t xml:space="preserve"> </w:t>
      </w:r>
      <w:r w:rsidRPr="0042603A">
        <w:rPr>
          <w:rFonts w:asciiTheme="minorHAnsi" w:hAnsiTheme="minorHAnsi" w:cstheme="minorHAnsi"/>
          <w:sz w:val="20"/>
          <w:szCs w:val="20"/>
          <w:lang w:val="en-US"/>
        </w:rPr>
        <w:t>% hydrogen) is within 0.1</w:t>
      </w:r>
      <w:r w:rsidR="001F5642" w:rsidRPr="0042603A">
        <w:rPr>
          <w:rFonts w:asciiTheme="minorHAnsi" w:hAnsiTheme="minorHAnsi" w:cstheme="minorHAnsi"/>
          <w:sz w:val="20"/>
          <w:szCs w:val="20"/>
          <w:lang w:val="en-US"/>
        </w:rPr>
        <w:t xml:space="preserve"> </w:t>
      </w:r>
      <w:r w:rsidRPr="0042603A">
        <w:rPr>
          <w:rFonts w:asciiTheme="minorHAnsi" w:hAnsiTheme="minorHAnsi" w:cstheme="minorHAnsi"/>
          <w:sz w:val="20"/>
          <w:szCs w:val="20"/>
          <w:lang w:val="en-US"/>
        </w:rPr>
        <w:t xml:space="preserve">%. A general statement is made on natural gas mixtures, where the uncertainty on the density is </w:t>
      </w:r>
      <w:r w:rsidR="0040248A">
        <w:rPr>
          <w:rFonts w:asciiTheme="minorHAnsi" w:hAnsiTheme="minorHAnsi" w:cstheme="minorHAnsi"/>
          <w:sz w:val="20"/>
          <w:szCs w:val="20"/>
          <w:lang w:val="en-US"/>
        </w:rPr>
        <w:t xml:space="preserve">expected to be </w:t>
      </w:r>
      <w:r w:rsidRPr="0042603A">
        <w:rPr>
          <w:rFonts w:asciiTheme="minorHAnsi" w:hAnsiTheme="minorHAnsi" w:cstheme="minorHAnsi"/>
          <w:sz w:val="20"/>
          <w:szCs w:val="20"/>
          <w:lang w:val="en-US"/>
        </w:rPr>
        <w:t>lower than 0.1</w:t>
      </w:r>
      <w:r w:rsidR="001F5642" w:rsidRPr="0042603A">
        <w:rPr>
          <w:rFonts w:asciiTheme="minorHAnsi" w:hAnsiTheme="minorHAnsi" w:cstheme="minorHAnsi"/>
          <w:sz w:val="20"/>
          <w:szCs w:val="20"/>
          <w:lang w:val="en-US"/>
        </w:rPr>
        <w:t xml:space="preserve"> </w:t>
      </w:r>
      <w:r w:rsidRPr="0042603A">
        <w:rPr>
          <w:rFonts w:asciiTheme="minorHAnsi" w:hAnsiTheme="minorHAnsi" w:cstheme="minorHAnsi"/>
          <w:sz w:val="20"/>
          <w:szCs w:val="20"/>
          <w:lang w:val="en-US"/>
        </w:rPr>
        <w:t>% for the application range of the project.</w:t>
      </w:r>
    </w:p>
    <w:p w14:paraId="3B6C3C8F" w14:textId="303E5205" w:rsidR="00BC19B8" w:rsidRPr="0042603A" w:rsidRDefault="00BC19B8" w:rsidP="00F668C6">
      <w:pPr>
        <w:pStyle w:val="BodyText"/>
        <w:jc w:val="both"/>
        <w:rPr>
          <w:rFonts w:asciiTheme="minorHAnsi" w:hAnsiTheme="minorHAnsi" w:cstheme="minorHAnsi"/>
          <w:sz w:val="20"/>
          <w:szCs w:val="20"/>
          <w:lang w:val="en-US"/>
        </w:rPr>
      </w:pPr>
      <w:r w:rsidRPr="0042603A">
        <w:rPr>
          <w:rFonts w:asciiTheme="minorHAnsi" w:hAnsiTheme="minorHAnsi" w:cstheme="minorHAnsi"/>
          <w:sz w:val="20"/>
          <w:szCs w:val="20"/>
          <w:lang w:val="en-US"/>
        </w:rPr>
        <w:t>The AGA8-DC92 is explicit in the compressibility factor as a function of density, temperature, and composition</w:t>
      </w:r>
      <w:r w:rsidR="00BC0CC1" w:rsidRPr="0042603A">
        <w:rPr>
          <w:rFonts w:asciiTheme="minorHAnsi" w:hAnsiTheme="minorHAnsi" w:cstheme="minorHAnsi"/>
          <w:sz w:val="20"/>
          <w:szCs w:val="20"/>
          <w:lang w:val="en-US"/>
        </w:rPr>
        <w:t xml:space="preserve"> </w:t>
      </w:r>
      <w:r w:rsidR="00BC0CC1" w:rsidRPr="0042603A">
        <w:rPr>
          <w:rFonts w:asciiTheme="minorHAnsi" w:hAnsiTheme="minorHAnsi" w:cstheme="minorHAnsi"/>
          <w:b/>
          <w:bCs/>
          <w:color w:val="4472C4" w:themeColor="accent1"/>
          <w:sz w:val="20"/>
          <w:szCs w:val="20"/>
          <w:lang w:val="en-US"/>
        </w:rPr>
        <w:t>[21]</w:t>
      </w:r>
      <w:r w:rsidRPr="0042603A">
        <w:rPr>
          <w:rFonts w:asciiTheme="minorHAnsi" w:hAnsiTheme="minorHAnsi" w:cstheme="minorHAnsi"/>
          <w:sz w:val="20"/>
          <w:szCs w:val="20"/>
          <w:lang w:val="en-US"/>
        </w:rPr>
        <w:t>. The uncertainty definition of the density is within 0.1</w:t>
      </w:r>
      <w:r w:rsidR="004549DF" w:rsidRPr="0042603A">
        <w:rPr>
          <w:rFonts w:asciiTheme="minorHAnsi" w:hAnsiTheme="minorHAnsi" w:cstheme="minorHAnsi"/>
          <w:sz w:val="20"/>
          <w:szCs w:val="20"/>
          <w:lang w:val="en-US"/>
        </w:rPr>
        <w:t xml:space="preserve"> </w:t>
      </w:r>
      <w:r w:rsidRPr="0042603A">
        <w:rPr>
          <w:rFonts w:asciiTheme="minorHAnsi" w:hAnsiTheme="minorHAnsi" w:cstheme="minorHAnsi"/>
          <w:sz w:val="20"/>
          <w:szCs w:val="20"/>
          <w:lang w:val="en-US"/>
        </w:rPr>
        <w:t>% for the so-called normal range, which includes hydrogen up to 10%. For the extended range, which includes hydrogen up to 100%, no quantitative uncertainty claim is made.</w:t>
      </w:r>
    </w:p>
    <w:p w14:paraId="425BFBE3" w14:textId="4B8C6F1A" w:rsidR="00BC19B8" w:rsidRPr="0042603A" w:rsidRDefault="00BC19B8" w:rsidP="00F668C6">
      <w:pPr>
        <w:pStyle w:val="BodyText"/>
        <w:jc w:val="both"/>
        <w:rPr>
          <w:rFonts w:asciiTheme="minorHAnsi" w:hAnsiTheme="minorHAnsi" w:cstheme="minorHAnsi"/>
          <w:sz w:val="20"/>
          <w:szCs w:val="20"/>
          <w:lang w:val="en-US"/>
        </w:rPr>
      </w:pPr>
      <w:r w:rsidRPr="0042603A">
        <w:rPr>
          <w:rFonts w:asciiTheme="minorHAnsi" w:hAnsiTheme="minorHAnsi" w:cstheme="minorHAnsi"/>
          <w:sz w:val="20"/>
          <w:szCs w:val="20"/>
          <w:lang w:val="en-US"/>
        </w:rPr>
        <w:t xml:space="preserve">To validate these claims both </w:t>
      </w:r>
      <w:r w:rsidR="009C2F61" w:rsidRPr="0042603A">
        <w:rPr>
          <w:rFonts w:asciiTheme="minorHAnsi" w:hAnsiTheme="minorHAnsi" w:cstheme="minorHAnsi"/>
          <w:sz w:val="20"/>
          <w:szCs w:val="20"/>
          <w:lang w:val="en-US"/>
        </w:rPr>
        <w:t>models</w:t>
      </w:r>
      <w:r w:rsidRPr="0042603A">
        <w:rPr>
          <w:rFonts w:asciiTheme="minorHAnsi" w:hAnsiTheme="minorHAnsi" w:cstheme="minorHAnsi"/>
          <w:sz w:val="20"/>
          <w:szCs w:val="20"/>
          <w:lang w:val="en-US"/>
        </w:rPr>
        <w:t xml:space="preserve"> </w:t>
      </w:r>
      <w:r w:rsidR="009C2F61" w:rsidRPr="0042603A">
        <w:rPr>
          <w:rFonts w:asciiTheme="minorHAnsi" w:hAnsiTheme="minorHAnsi" w:cstheme="minorHAnsi"/>
          <w:sz w:val="20"/>
          <w:szCs w:val="20"/>
          <w:lang w:val="en-US"/>
        </w:rPr>
        <w:t xml:space="preserve">(GERG-2008 and AGA8-DC92) </w:t>
      </w:r>
      <w:r w:rsidRPr="0042603A">
        <w:rPr>
          <w:rFonts w:asciiTheme="minorHAnsi" w:hAnsiTheme="minorHAnsi" w:cstheme="minorHAnsi"/>
          <w:sz w:val="20"/>
          <w:szCs w:val="20"/>
          <w:lang w:val="en-US"/>
        </w:rPr>
        <w:t xml:space="preserve">can be compared </w:t>
      </w:r>
      <w:r w:rsidR="009C2F61" w:rsidRPr="0042603A">
        <w:rPr>
          <w:rFonts w:asciiTheme="minorHAnsi" w:hAnsiTheme="minorHAnsi" w:cstheme="minorHAnsi"/>
          <w:sz w:val="20"/>
          <w:szCs w:val="20"/>
          <w:lang w:val="en-US"/>
        </w:rPr>
        <w:t xml:space="preserve">to each other </w:t>
      </w:r>
      <w:r w:rsidRPr="0042603A">
        <w:rPr>
          <w:rFonts w:asciiTheme="minorHAnsi" w:hAnsiTheme="minorHAnsi" w:cstheme="minorHAnsi"/>
          <w:sz w:val="20"/>
          <w:szCs w:val="20"/>
          <w:lang w:val="en-US"/>
        </w:rPr>
        <w:t>for a range of natural gas-hydrogen mixtures as a function of pressure and constant temperature of 20°</w:t>
      </w:r>
      <w:r w:rsidR="00D34FF7" w:rsidRPr="0042603A">
        <w:rPr>
          <w:rFonts w:asciiTheme="minorHAnsi" w:hAnsiTheme="minorHAnsi" w:cstheme="minorHAnsi"/>
          <w:sz w:val="20"/>
          <w:szCs w:val="20"/>
          <w:lang w:val="en-US"/>
        </w:rPr>
        <w:t xml:space="preserve"> </w:t>
      </w:r>
      <w:r w:rsidRPr="0042603A">
        <w:rPr>
          <w:rFonts w:asciiTheme="minorHAnsi" w:hAnsiTheme="minorHAnsi" w:cstheme="minorHAnsi"/>
          <w:sz w:val="20"/>
          <w:szCs w:val="20"/>
          <w:lang w:val="en-US"/>
        </w:rPr>
        <w:t>C, see</w:t>
      </w:r>
      <w:r w:rsidR="00B34B98" w:rsidRPr="0042603A">
        <w:rPr>
          <w:rFonts w:asciiTheme="minorHAnsi" w:hAnsiTheme="minorHAnsi" w:cstheme="minorHAnsi"/>
          <w:sz w:val="20"/>
          <w:szCs w:val="20"/>
          <w:lang w:val="en-US"/>
        </w:rPr>
        <w:t xml:space="preserve"> </w:t>
      </w:r>
      <w:r w:rsidR="00B34B98" w:rsidRPr="0042603A">
        <w:rPr>
          <w:rFonts w:asciiTheme="minorHAnsi" w:hAnsiTheme="minorHAnsi" w:cstheme="minorHAnsi"/>
          <w:sz w:val="20"/>
          <w:szCs w:val="20"/>
          <w:lang w:val="en-US"/>
        </w:rPr>
        <w:fldChar w:fldCharType="begin"/>
      </w:r>
      <w:r w:rsidR="00B34B98" w:rsidRPr="0042603A">
        <w:rPr>
          <w:rFonts w:asciiTheme="minorHAnsi" w:hAnsiTheme="minorHAnsi" w:cstheme="minorHAnsi"/>
          <w:sz w:val="20"/>
          <w:szCs w:val="20"/>
          <w:lang w:val="en-US"/>
        </w:rPr>
        <w:instrText xml:space="preserve"> REF _Ref110337214 \h </w:instrText>
      </w:r>
      <w:r w:rsidR="00F668C6" w:rsidRPr="0042603A">
        <w:rPr>
          <w:rFonts w:asciiTheme="minorHAnsi" w:hAnsiTheme="minorHAnsi" w:cstheme="minorHAnsi"/>
          <w:sz w:val="20"/>
          <w:szCs w:val="20"/>
          <w:lang w:val="en-US"/>
        </w:rPr>
        <w:instrText xml:space="preserve"> \* MERGEFORMAT </w:instrText>
      </w:r>
      <w:r w:rsidR="00B34B98" w:rsidRPr="0042603A">
        <w:rPr>
          <w:rFonts w:asciiTheme="minorHAnsi" w:hAnsiTheme="minorHAnsi" w:cstheme="minorHAnsi"/>
          <w:sz w:val="20"/>
          <w:szCs w:val="20"/>
          <w:lang w:val="en-US"/>
        </w:rPr>
      </w:r>
      <w:r w:rsidR="00B34B98" w:rsidRPr="0042603A">
        <w:rPr>
          <w:rFonts w:asciiTheme="minorHAnsi" w:hAnsiTheme="minorHAnsi" w:cstheme="minorHAnsi"/>
          <w:sz w:val="20"/>
          <w:szCs w:val="20"/>
          <w:lang w:val="en-US"/>
        </w:rPr>
        <w:fldChar w:fldCharType="separate"/>
      </w:r>
      <w:r w:rsidR="006D12C9" w:rsidRPr="0042603A">
        <w:rPr>
          <w:rFonts w:asciiTheme="minorHAnsi" w:hAnsiTheme="minorHAnsi" w:cstheme="minorHAnsi"/>
          <w:b/>
          <w:color w:val="007AAE"/>
          <w:sz w:val="20"/>
          <w:szCs w:val="20"/>
        </w:rPr>
        <w:t>Figure 11</w:t>
      </w:r>
      <w:r w:rsidR="00B34B98" w:rsidRPr="0042603A">
        <w:rPr>
          <w:rFonts w:asciiTheme="minorHAnsi" w:hAnsiTheme="minorHAnsi" w:cstheme="minorHAnsi"/>
          <w:sz w:val="20"/>
          <w:szCs w:val="20"/>
          <w:lang w:val="en-US"/>
        </w:rPr>
        <w:fldChar w:fldCharType="end"/>
      </w:r>
      <w:r w:rsidRPr="0042603A">
        <w:rPr>
          <w:rFonts w:asciiTheme="minorHAnsi" w:hAnsiTheme="minorHAnsi" w:cstheme="minorHAnsi"/>
          <w:sz w:val="20"/>
          <w:szCs w:val="20"/>
          <w:lang w:val="en-US"/>
        </w:rPr>
        <w:t>. The natural gas is chosen as a blend of methane, ethane, propane, carbon dioxide and nitrogen with concentrations of 85</w:t>
      </w:r>
      <w:r w:rsidR="00D34FF7" w:rsidRPr="0042603A">
        <w:rPr>
          <w:rFonts w:asciiTheme="minorHAnsi" w:hAnsiTheme="minorHAnsi" w:cstheme="minorHAnsi"/>
          <w:sz w:val="20"/>
          <w:szCs w:val="20"/>
          <w:lang w:val="en-US"/>
        </w:rPr>
        <w:t xml:space="preserve"> </w:t>
      </w:r>
      <w:r w:rsidRPr="0042603A">
        <w:rPr>
          <w:rFonts w:asciiTheme="minorHAnsi" w:hAnsiTheme="minorHAnsi" w:cstheme="minorHAnsi"/>
          <w:sz w:val="20"/>
          <w:szCs w:val="20"/>
          <w:lang w:val="en-US"/>
        </w:rPr>
        <w:t>%, 3</w:t>
      </w:r>
      <w:r w:rsidR="00D34FF7" w:rsidRPr="0042603A">
        <w:rPr>
          <w:rFonts w:asciiTheme="minorHAnsi" w:hAnsiTheme="minorHAnsi" w:cstheme="minorHAnsi"/>
          <w:sz w:val="20"/>
          <w:szCs w:val="20"/>
          <w:lang w:val="en-US"/>
        </w:rPr>
        <w:t xml:space="preserve"> </w:t>
      </w:r>
      <w:r w:rsidRPr="0042603A">
        <w:rPr>
          <w:rFonts w:asciiTheme="minorHAnsi" w:hAnsiTheme="minorHAnsi" w:cstheme="minorHAnsi"/>
          <w:sz w:val="20"/>
          <w:szCs w:val="20"/>
          <w:lang w:val="en-US"/>
        </w:rPr>
        <w:t>%, 1</w:t>
      </w:r>
      <w:r w:rsidR="00D34FF7" w:rsidRPr="0042603A">
        <w:rPr>
          <w:rFonts w:asciiTheme="minorHAnsi" w:hAnsiTheme="minorHAnsi" w:cstheme="minorHAnsi"/>
          <w:sz w:val="20"/>
          <w:szCs w:val="20"/>
          <w:lang w:val="en-US"/>
        </w:rPr>
        <w:t xml:space="preserve"> </w:t>
      </w:r>
      <w:r w:rsidRPr="0042603A">
        <w:rPr>
          <w:rFonts w:asciiTheme="minorHAnsi" w:hAnsiTheme="minorHAnsi" w:cstheme="minorHAnsi"/>
          <w:sz w:val="20"/>
          <w:szCs w:val="20"/>
          <w:lang w:val="en-US"/>
        </w:rPr>
        <w:t>%, 1</w:t>
      </w:r>
      <w:r w:rsidR="00D34FF7" w:rsidRPr="0042603A">
        <w:rPr>
          <w:rFonts w:asciiTheme="minorHAnsi" w:hAnsiTheme="minorHAnsi" w:cstheme="minorHAnsi"/>
          <w:sz w:val="20"/>
          <w:szCs w:val="20"/>
          <w:lang w:val="en-US"/>
        </w:rPr>
        <w:t xml:space="preserve"> </w:t>
      </w:r>
      <w:r w:rsidRPr="0042603A">
        <w:rPr>
          <w:rFonts w:asciiTheme="minorHAnsi" w:hAnsiTheme="minorHAnsi" w:cstheme="minorHAnsi"/>
          <w:sz w:val="20"/>
          <w:szCs w:val="20"/>
          <w:lang w:val="en-US"/>
        </w:rPr>
        <w:t>% and 10</w:t>
      </w:r>
      <w:r w:rsidR="00D34FF7" w:rsidRPr="0042603A">
        <w:rPr>
          <w:rFonts w:asciiTheme="minorHAnsi" w:hAnsiTheme="minorHAnsi" w:cstheme="minorHAnsi"/>
          <w:sz w:val="20"/>
          <w:szCs w:val="20"/>
          <w:lang w:val="en-US"/>
        </w:rPr>
        <w:t xml:space="preserve"> </w:t>
      </w:r>
      <w:r w:rsidRPr="0042603A">
        <w:rPr>
          <w:rFonts w:asciiTheme="minorHAnsi" w:hAnsiTheme="minorHAnsi" w:cstheme="minorHAnsi"/>
          <w:sz w:val="20"/>
          <w:szCs w:val="20"/>
          <w:lang w:val="en-US"/>
        </w:rPr>
        <w:t>%, respectively. In this figure the relative density error of the AGA8-DC92 is given when using the GERG-2008 as reference density. Here it is assumed that the chosen mixture is representative for a typical natural gas-hydrogen mixture. Calculations with other hydrocarbon gas trace components indeed show comparable results. Therefore, as a general statement one can conclude that the differences between the two models are well within 0.03</w:t>
      </w:r>
      <w:r w:rsidR="009C2F61" w:rsidRPr="0042603A">
        <w:rPr>
          <w:rFonts w:asciiTheme="minorHAnsi" w:hAnsiTheme="minorHAnsi" w:cstheme="minorHAnsi"/>
          <w:sz w:val="20"/>
          <w:szCs w:val="20"/>
          <w:lang w:val="en-US"/>
        </w:rPr>
        <w:t xml:space="preserve"> </w:t>
      </w:r>
      <w:r w:rsidRPr="0042603A">
        <w:rPr>
          <w:rFonts w:asciiTheme="minorHAnsi" w:hAnsiTheme="minorHAnsi" w:cstheme="minorHAnsi"/>
          <w:sz w:val="20"/>
          <w:szCs w:val="20"/>
          <w:lang w:val="en-US"/>
        </w:rPr>
        <w:t>% for the range of interest. The general behavior is interesting since the deviation between the two models increase with increasing hydrogen content up to 20-30</w:t>
      </w:r>
      <w:r w:rsidR="009C2F61" w:rsidRPr="0042603A">
        <w:rPr>
          <w:rFonts w:asciiTheme="minorHAnsi" w:hAnsiTheme="minorHAnsi" w:cstheme="minorHAnsi"/>
          <w:sz w:val="20"/>
          <w:szCs w:val="20"/>
          <w:lang w:val="en-US"/>
        </w:rPr>
        <w:t xml:space="preserve"> </w:t>
      </w:r>
      <w:r w:rsidRPr="0042603A">
        <w:rPr>
          <w:rFonts w:asciiTheme="minorHAnsi" w:hAnsiTheme="minorHAnsi" w:cstheme="minorHAnsi"/>
          <w:sz w:val="20"/>
          <w:szCs w:val="20"/>
          <w:lang w:val="en-US"/>
        </w:rPr>
        <w:t xml:space="preserve">% and then decrease, leading finally to a negative bias for 100% hydrogen. </w:t>
      </w:r>
    </w:p>
    <w:p w14:paraId="5DDB074F" w14:textId="77777777" w:rsidR="00BC19B8" w:rsidRDefault="00BC19B8" w:rsidP="00F668C6">
      <w:pPr>
        <w:pStyle w:val="BodyText"/>
        <w:jc w:val="both"/>
        <w:rPr>
          <w:lang w:val="en-US"/>
        </w:rPr>
      </w:pPr>
    </w:p>
    <w:p w14:paraId="242CBB65" w14:textId="77777777" w:rsidR="00B34B98" w:rsidRDefault="00BC19B8" w:rsidP="00F668C6">
      <w:pPr>
        <w:pStyle w:val="BodyText"/>
        <w:keepNext/>
        <w:jc w:val="both"/>
      </w:pPr>
      <w:r>
        <w:rPr>
          <w:noProof/>
          <w:lang w:val="en-US"/>
        </w:rPr>
        <w:lastRenderedPageBreak/>
        <w:drawing>
          <wp:inline distT="0" distB="0" distL="0" distR="0" wp14:anchorId="29898457" wp14:editId="1B2F7BDC">
            <wp:extent cx="5731510" cy="3347085"/>
            <wp:effectExtent l="0" t="0" r="2540" b="571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3347085"/>
                    </a:xfrm>
                    <a:prstGeom prst="rect">
                      <a:avLst/>
                    </a:prstGeom>
                    <a:noFill/>
                    <a:ln>
                      <a:noFill/>
                    </a:ln>
                  </pic:spPr>
                </pic:pic>
              </a:graphicData>
            </a:graphic>
          </wp:inline>
        </w:drawing>
      </w:r>
    </w:p>
    <w:p w14:paraId="36B4455B" w14:textId="59A13F00" w:rsidR="00BC19B8" w:rsidRPr="00B34B98" w:rsidRDefault="00B34B98" w:rsidP="00F668C6">
      <w:pPr>
        <w:spacing w:before="120" w:line="276" w:lineRule="auto"/>
        <w:ind w:left="2552" w:right="1134" w:hanging="1418"/>
        <w:jc w:val="both"/>
        <w:rPr>
          <w:b/>
          <w:color w:val="007AAE"/>
          <w:sz w:val="18"/>
          <w:szCs w:val="18"/>
        </w:rPr>
      </w:pPr>
      <w:bookmarkStart w:id="50" w:name="_Ref110337214"/>
      <w:r w:rsidRPr="00B34B98">
        <w:rPr>
          <w:b/>
          <w:color w:val="007AAE"/>
          <w:sz w:val="18"/>
          <w:szCs w:val="18"/>
        </w:rPr>
        <w:t xml:space="preserve">Figure </w:t>
      </w:r>
      <w:r w:rsidRPr="00B34B98">
        <w:rPr>
          <w:b/>
          <w:color w:val="007AAE"/>
          <w:sz w:val="18"/>
          <w:szCs w:val="18"/>
        </w:rPr>
        <w:fldChar w:fldCharType="begin"/>
      </w:r>
      <w:r w:rsidRPr="00B34B98">
        <w:rPr>
          <w:b/>
          <w:color w:val="007AAE"/>
          <w:sz w:val="18"/>
          <w:szCs w:val="18"/>
        </w:rPr>
        <w:instrText xml:space="preserve"> SEQ Figure \* ARABIC </w:instrText>
      </w:r>
      <w:r w:rsidRPr="00B34B98">
        <w:rPr>
          <w:b/>
          <w:color w:val="007AAE"/>
          <w:sz w:val="18"/>
          <w:szCs w:val="18"/>
        </w:rPr>
        <w:fldChar w:fldCharType="separate"/>
      </w:r>
      <w:r w:rsidR="00EF1E54">
        <w:rPr>
          <w:b/>
          <w:noProof/>
          <w:color w:val="007AAE"/>
          <w:sz w:val="18"/>
          <w:szCs w:val="18"/>
        </w:rPr>
        <w:t>11</w:t>
      </w:r>
      <w:r w:rsidRPr="00B34B98">
        <w:rPr>
          <w:b/>
          <w:color w:val="007AAE"/>
          <w:sz w:val="18"/>
          <w:szCs w:val="18"/>
        </w:rPr>
        <w:fldChar w:fldCharType="end"/>
      </w:r>
      <w:bookmarkEnd w:id="50"/>
      <w:r w:rsidRPr="00B34B98">
        <w:rPr>
          <w:b/>
          <w:color w:val="007AAE"/>
          <w:sz w:val="18"/>
          <w:szCs w:val="18"/>
        </w:rPr>
        <w:t xml:space="preserve"> </w:t>
      </w:r>
      <w:r>
        <w:rPr>
          <w:b/>
          <w:color w:val="007AAE"/>
          <w:sz w:val="18"/>
          <w:szCs w:val="18"/>
        </w:rPr>
        <w:t xml:space="preserve"> -     </w:t>
      </w:r>
      <w:r w:rsidRPr="00B34B98">
        <w:rPr>
          <w:bCs/>
          <w:color w:val="000000" w:themeColor="text1"/>
          <w:sz w:val="18"/>
          <w:szCs w:val="18"/>
        </w:rPr>
        <w:t>Relative density error of AGA8-DC92 (using the GERG-2008 as reference density)</w:t>
      </w:r>
      <w:r w:rsidR="0078697C">
        <w:rPr>
          <w:bCs/>
          <w:color w:val="000000" w:themeColor="text1"/>
          <w:sz w:val="18"/>
          <w:szCs w:val="18"/>
        </w:rPr>
        <w:t xml:space="preserve"> </w:t>
      </w:r>
      <w:r w:rsidRPr="00B34B98">
        <w:rPr>
          <w:bCs/>
          <w:color w:val="000000" w:themeColor="text1"/>
          <w:sz w:val="18"/>
          <w:szCs w:val="18"/>
        </w:rPr>
        <w:t>as a function of pressure at constant temperature of 20°C for a typical natural gas blend and hydrogen</w:t>
      </w:r>
    </w:p>
    <w:p w14:paraId="71013FDB" w14:textId="34D9B713" w:rsidR="00BC19B8" w:rsidRPr="0042603A" w:rsidRDefault="00BC19B8" w:rsidP="00F668C6">
      <w:pPr>
        <w:pStyle w:val="BodyText"/>
        <w:jc w:val="both"/>
        <w:rPr>
          <w:rFonts w:asciiTheme="minorHAnsi" w:hAnsiTheme="minorHAnsi" w:cstheme="minorHAnsi"/>
          <w:sz w:val="20"/>
          <w:szCs w:val="20"/>
          <w:lang w:val="en-US"/>
        </w:rPr>
      </w:pPr>
      <w:r w:rsidRPr="0042603A">
        <w:rPr>
          <w:rFonts w:asciiTheme="minorHAnsi" w:hAnsiTheme="minorHAnsi" w:cstheme="minorHAnsi"/>
          <w:sz w:val="20"/>
          <w:szCs w:val="20"/>
          <w:lang w:val="en-US"/>
        </w:rPr>
        <w:t>Validation of the GERG-2008 and AGA8-DC92 model</w:t>
      </w:r>
      <w:r w:rsidR="00E9000B" w:rsidRPr="0042603A">
        <w:rPr>
          <w:rFonts w:asciiTheme="minorHAnsi" w:hAnsiTheme="minorHAnsi" w:cstheme="minorHAnsi"/>
          <w:sz w:val="20"/>
          <w:szCs w:val="20"/>
          <w:lang w:val="en-US"/>
        </w:rPr>
        <w:t>s</w:t>
      </w:r>
      <w:r w:rsidRPr="0042603A">
        <w:rPr>
          <w:rFonts w:asciiTheme="minorHAnsi" w:hAnsiTheme="minorHAnsi" w:cstheme="minorHAnsi"/>
          <w:sz w:val="20"/>
          <w:szCs w:val="20"/>
          <w:lang w:val="en-US"/>
        </w:rPr>
        <w:t xml:space="preserve"> </w:t>
      </w:r>
      <w:r w:rsidR="00E9000B" w:rsidRPr="0042603A">
        <w:rPr>
          <w:rFonts w:asciiTheme="minorHAnsi" w:hAnsiTheme="minorHAnsi" w:cstheme="minorHAnsi"/>
          <w:sz w:val="20"/>
          <w:szCs w:val="20"/>
          <w:lang w:val="en-US"/>
        </w:rPr>
        <w:t>against</w:t>
      </w:r>
      <w:r w:rsidRPr="0042603A">
        <w:rPr>
          <w:rFonts w:asciiTheme="minorHAnsi" w:hAnsiTheme="minorHAnsi" w:cstheme="minorHAnsi"/>
          <w:sz w:val="20"/>
          <w:szCs w:val="20"/>
          <w:lang w:val="en-US"/>
        </w:rPr>
        <w:t xml:space="preserve"> experimental data was performed by Hernández-Gómez </w:t>
      </w:r>
      <w:r w:rsidRPr="0042603A">
        <w:rPr>
          <w:rFonts w:asciiTheme="minorHAnsi" w:hAnsiTheme="minorHAnsi" w:cstheme="minorHAnsi"/>
          <w:i/>
          <w:iCs/>
          <w:sz w:val="20"/>
          <w:szCs w:val="20"/>
          <w:lang w:val="en-US"/>
        </w:rPr>
        <w:t>et al</w:t>
      </w:r>
      <w:r w:rsidRPr="0042603A">
        <w:rPr>
          <w:rFonts w:asciiTheme="minorHAnsi" w:hAnsiTheme="minorHAnsi" w:cstheme="minorHAnsi"/>
          <w:sz w:val="20"/>
          <w:szCs w:val="20"/>
          <w:lang w:val="en-US"/>
        </w:rPr>
        <w:t xml:space="preserve">. </w:t>
      </w:r>
      <w:r w:rsidR="00BC0CC1" w:rsidRPr="0042603A">
        <w:rPr>
          <w:rFonts w:asciiTheme="minorHAnsi" w:hAnsiTheme="minorHAnsi" w:cstheme="minorHAnsi"/>
          <w:b/>
          <w:bCs/>
          <w:color w:val="4472C4" w:themeColor="accent1"/>
          <w:sz w:val="20"/>
          <w:szCs w:val="20"/>
          <w:lang w:val="en-US"/>
        </w:rPr>
        <w:t>[26]</w:t>
      </w:r>
      <w:r w:rsidRPr="0042603A">
        <w:rPr>
          <w:rFonts w:asciiTheme="minorHAnsi" w:hAnsiTheme="minorHAnsi" w:cstheme="minorHAnsi"/>
          <w:sz w:val="20"/>
          <w:szCs w:val="20"/>
          <w:lang w:val="en-US"/>
        </w:rPr>
        <w:t>, for 3</w:t>
      </w:r>
      <w:r w:rsidR="00CB6448" w:rsidRPr="0042603A">
        <w:rPr>
          <w:rFonts w:asciiTheme="minorHAnsi" w:hAnsiTheme="minorHAnsi" w:cstheme="minorHAnsi"/>
          <w:sz w:val="20"/>
          <w:szCs w:val="20"/>
          <w:lang w:val="en-US"/>
        </w:rPr>
        <w:t xml:space="preserve"> </w:t>
      </w:r>
      <w:r w:rsidRPr="0042603A">
        <w:rPr>
          <w:rFonts w:asciiTheme="minorHAnsi" w:hAnsiTheme="minorHAnsi" w:cstheme="minorHAnsi"/>
          <w:sz w:val="20"/>
          <w:szCs w:val="20"/>
          <w:lang w:val="en-US"/>
        </w:rPr>
        <w:t xml:space="preserve">% hydrogen-enriched natural gas. </w:t>
      </w:r>
      <w:r w:rsidR="004835B7" w:rsidRPr="0042603A">
        <w:rPr>
          <w:rFonts w:asciiTheme="minorHAnsi" w:hAnsiTheme="minorHAnsi" w:cstheme="minorHAnsi"/>
          <w:sz w:val="20"/>
          <w:szCs w:val="20"/>
          <w:lang w:val="en-US"/>
        </w:rPr>
        <w:t>T</w:t>
      </w:r>
      <w:r w:rsidRPr="0042603A">
        <w:rPr>
          <w:rFonts w:asciiTheme="minorHAnsi" w:hAnsiTheme="minorHAnsi" w:cstheme="minorHAnsi"/>
          <w:sz w:val="20"/>
          <w:szCs w:val="20"/>
          <w:lang w:val="en-US"/>
        </w:rPr>
        <w:t>he experiment</w:t>
      </w:r>
      <w:r w:rsidR="00900491" w:rsidRPr="0042603A">
        <w:rPr>
          <w:rFonts w:asciiTheme="minorHAnsi" w:hAnsiTheme="minorHAnsi" w:cstheme="minorHAnsi"/>
          <w:sz w:val="20"/>
          <w:szCs w:val="20"/>
          <w:lang w:val="en-US"/>
        </w:rPr>
        <w:t>al values</w:t>
      </w:r>
      <w:r w:rsidR="004835B7" w:rsidRPr="0042603A">
        <w:rPr>
          <w:rFonts w:asciiTheme="minorHAnsi" w:hAnsiTheme="minorHAnsi" w:cstheme="minorHAnsi"/>
          <w:sz w:val="20"/>
          <w:szCs w:val="20"/>
          <w:lang w:val="en-US"/>
        </w:rPr>
        <w:t xml:space="preserve"> were lower than what predicted with </w:t>
      </w:r>
      <w:r w:rsidRPr="0042603A">
        <w:rPr>
          <w:rFonts w:asciiTheme="minorHAnsi" w:hAnsiTheme="minorHAnsi" w:cstheme="minorHAnsi"/>
          <w:sz w:val="20"/>
          <w:szCs w:val="20"/>
          <w:lang w:val="en-US"/>
        </w:rPr>
        <w:t>the GERG-2008</w:t>
      </w:r>
      <w:r w:rsidR="00CB6448" w:rsidRPr="0042603A">
        <w:rPr>
          <w:rFonts w:asciiTheme="minorHAnsi" w:hAnsiTheme="minorHAnsi" w:cstheme="minorHAnsi"/>
          <w:sz w:val="20"/>
          <w:szCs w:val="20"/>
          <w:lang w:val="en-US"/>
        </w:rPr>
        <w:t xml:space="preserve"> model</w:t>
      </w:r>
      <w:r w:rsidR="00900491" w:rsidRPr="0042603A">
        <w:rPr>
          <w:rFonts w:asciiTheme="minorHAnsi" w:hAnsiTheme="minorHAnsi" w:cstheme="minorHAnsi"/>
          <w:sz w:val="20"/>
          <w:szCs w:val="20"/>
          <w:lang w:val="en-US"/>
        </w:rPr>
        <w:t xml:space="preserve"> (</w:t>
      </w:r>
      <w:proofErr w:type="gramStart"/>
      <w:r w:rsidR="00900491" w:rsidRPr="0042603A">
        <w:rPr>
          <w:rFonts w:asciiTheme="minorHAnsi" w:hAnsiTheme="minorHAnsi" w:cstheme="minorHAnsi"/>
          <w:sz w:val="20"/>
          <w:szCs w:val="20"/>
          <w:lang w:val="en-US"/>
        </w:rPr>
        <w:t>i.e.</w:t>
      </w:r>
      <w:proofErr w:type="gramEnd"/>
      <w:r w:rsidR="00900491" w:rsidRPr="0042603A">
        <w:rPr>
          <w:rFonts w:asciiTheme="minorHAnsi" w:hAnsiTheme="minorHAnsi" w:cstheme="minorHAnsi"/>
          <w:sz w:val="20"/>
          <w:szCs w:val="20"/>
          <w:lang w:val="en-US"/>
        </w:rPr>
        <w:t xml:space="preserve"> GERG-2008 overestimating</w:t>
      </w:r>
      <w:r w:rsidR="004835B7" w:rsidRPr="0042603A">
        <w:rPr>
          <w:rFonts w:asciiTheme="minorHAnsi" w:hAnsiTheme="minorHAnsi" w:cstheme="minorHAnsi"/>
          <w:sz w:val="20"/>
          <w:szCs w:val="20"/>
          <w:lang w:val="en-US"/>
        </w:rPr>
        <w:t xml:space="preserve"> the</w:t>
      </w:r>
      <w:r w:rsidR="009B0EB2" w:rsidRPr="0042603A">
        <w:rPr>
          <w:rFonts w:asciiTheme="minorHAnsi" w:hAnsiTheme="minorHAnsi" w:cstheme="minorHAnsi"/>
          <w:sz w:val="20"/>
          <w:szCs w:val="20"/>
          <w:lang w:val="en-US"/>
        </w:rPr>
        <w:t xml:space="preserve"> experimental</w:t>
      </w:r>
      <w:r w:rsidR="004835B7" w:rsidRPr="0042603A">
        <w:rPr>
          <w:rFonts w:asciiTheme="minorHAnsi" w:hAnsiTheme="minorHAnsi" w:cstheme="minorHAnsi"/>
          <w:sz w:val="20"/>
          <w:szCs w:val="20"/>
          <w:lang w:val="en-US"/>
        </w:rPr>
        <w:t xml:space="preserve"> density</w:t>
      </w:r>
      <w:r w:rsidR="00900491" w:rsidRPr="0042603A">
        <w:rPr>
          <w:rFonts w:asciiTheme="minorHAnsi" w:hAnsiTheme="minorHAnsi" w:cstheme="minorHAnsi"/>
          <w:sz w:val="20"/>
          <w:szCs w:val="20"/>
          <w:lang w:val="en-US"/>
        </w:rPr>
        <w:t>)</w:t>
      </w:r>
      <w:r w:rsidR="00CB6448" w:rsidRPr="0042603A">
        <w:rPr>
          <w:rFonts w:asciiTheme="minorHAnsi" w:hAnsiTheme="minorHAnsi" w:cstheme="minorHAnsi"/>
          <w:sz w:val="20"/>
          <w:szCs w:val="20"/>
          <w:lang w:val="en-US"/>
        </w:rPr>
        <w:t>. The negative deviation</w:t>
      </w:r>
      <w:r w:rsidR="00347E32" w:rsidRPr="0042603A">
        <w:rPr>
          <w:rFonts w:asciiTheme="minorHAnsi" w:hAnsiTheme="minorHAnsi" w:cstheme="minorHAnsi"/>
          <w:sz w:val="20"/>
          <w:szCs w:val="20"/>
          <w:lang w:val="en-US"/>
        </w:rPr>
        <w:t xml:space="preserve"> of the experimental values</w:t>
      </w:r>
      <w:r w:rsidR="00CB6448" w:rsidRPr="0042603A">
        <w:rPr>
          <w:rFonts w:asciiTheme="minorHAnsi" w:hAnsiTheme="minorHAnsi" w:cstheme="minorHAnsi"/>
          <w:sz w:val="20"/>
          <w:szCs w:val="20"/>
          <w:lang w:val="en-US"/>
        </w:rPr>
        <w:t xml:space="preserve"> </w:t>
      </w:r>
      <w:r w:rsidRPr="0042603A">
        <w:rPr>
          <w:rFonts w:asciiTheme="minorHAnsi" w:hAnsiTheme="minorHAnsi" w:cstheme="minorHAnsi"/>
          <w:sz w:val="20"/>
          <w:szCs w:val="20"/>
          <w:lang w:val="en-US"/>
        </w:rPr>
        <w:t>increases with pressure to a maximum of -0.04</w:t>
      </w:r>
      <w:r w:rsidR="00CB6448" w:rsidRPr="0042603A">
        <w:rPr>
          <w:rFonts w:asciiTheme="minorHAnsi" w:hAnsiTheme="minorHAnsi" w:cstheme="minorHAnsi"/>
          <w:sz w:val="20"/>
          <w:szCs w:val="20"/>
          <w:lang w:val="en-US"/>
        </w:rPr>
        <w:t xml:space="preserve"> </w:t>
      </w:r>
      <w:r w:rsidRPr="0042603A">
        <w:rPr>
          <w:rFonts w:asciiTheme="minorHAnsi" w:hAnsiTheme="minorHAnsi" w:cstheme="minorHAnsi"/>
          <w:sz w:val="20"/>
          <w:szCs w:val="20"/>
          <w:lang w:val="en-US"/>
        </w:rPr>
        <w:t>%</w:t>
      </w:r>
      <w:r w:rsidR="00CB6448" w:rsidRPr="0042603A">
        <w:rPr>
          <w:rFonts w:asciiTheme="minorHAnsi" w:hAnsiTheme="minorHAnsi" w:cstheme="minorHAnsi"/>
          <w:sz w:val="20"/>
          <w:szCs w:val="20"/>
          <w:lang w:val="en-US"/>
        </w:rPr>
        <w:t xml:space="preserve"> at 50 bar.</w:t>
      </w:r>
      <w:r w:rsidRPr="0042603A">
        <w:rPr>
          <w:rFonts w:asciiTheme="minorHAnsi" w:hAnsiTheme="minorHAnsi" w:cstheme="minorHAnsi"/>
          <w:sz w:val="20"/>
          <w:szCs w:val="20"/>
          <w:lang w:val="en-US"/>
        </w:rPr>
        <w:t xml:space="preserve"> </w:t>
      </w:r>
      <w:r w:rsidR="00CB6448" w:rsidRPr="0042603A">
        <w:rPr>
          <w:rFonts w:asciiTheme="minorHAnsi" w:hAnsiTheme="minorHAnsi" w:cstheme="minorHAnsi"/>
          <w:sz w:val="20"/>
          <w:szCs w:val="20"/>
          <w:lang w:val="en-US"/>
        </w:rPr>
        <w:t>I</w:t>
      </w:r>
      <w:r w:rsidRPr="0042603A">
        <w:rPr>
          <w:rFonts w:asciiTheme="minorHAnsi" w:hAnsiTheme="minorHAnsi" w:cstheme="minorHAnsi"/>
          <w:sz w:val="20"/>
          <w:szCs w:val="20"/>
          <w:lang w:val="en-US"/>
        </w:rPr>
        <w:t xml:space="preserve">t is important to </w:t>
      </w:r>
      <w:r w:rsidR="00CB6448" w:rsidRPr="0042603A">
        <w:rPr>
          <w:rFonts w:asciiTheme="minorHAnsi" w:hAnsiTheme="minorHAnsi" w:cstheme="minorHAnsi"/>
          <w:sz w:val="20"/>
          <w:szCs w:val="20"/>
          <w:lang w:val="en-US"/>
        </w:rPr>
        <w:t>underline</w:t>
      </w:r>
      <w:r w:rsidRPr="0042603A">
        <w:rPr>
          <w:rFonts w:asciiTheme="minorHAnsi" w:hAnsiTheme="minorHAnsi" w:cstheme="minorHAnsi"/>
          <w:sz w:val="20"/>
          <w:szCs w:val="20"/>
          <w:lang w:val="en-US"/>
        </w:rPr>
        <w:t xml:space="preserve"> that the experimental uncertainty (k=2) on the density measurement was 0.03</w:t>
      </w:r>
      <w:r w:rsidR="00CB6448" w:rsidRPr="0042603A">
        <w:rPr>
          <w:rFonts w:asciiTheme="minorHAnsi" w:hAnsiTheme="minorHAnsi" w:cstheme="minorHAnsi"/>
          <w:sz w:val="20"/>
          <w:szCs w:val="20"/>
          <w:lang w:val="en-US"/>
        </w:rPr>
        <w:t xml:space="preserve"> </w:t>
      </w:r>
      <w:r w:rsidRPr="0042603A">
        <w:rPr>
          <w:rFonts w:asciiTheme="minorHAnsi" w:hAnsiTheme="minorHAnsi" w:cstheme="minorHAnsi"/>
          <w:sz w:val="20"/>
          <w:szCs w:val="20"/>
          <w:lang w:val="en-US"/>
        </w:rPr>
        <w:t>%</w:t>
      </w:r>
      <w:r w:rsidR="000B4EC6" w:rsidRPr="0042603A">
        <w:rPr>
          <w:rFonts w:asciiTheme="minorHAnsi" w:hAnsiTheme="minorHAnsi" w:cstheme="minorHAnsi"/>
          <w:sz w:val="20"/>
          <w:szCs w:val="20"/>
          <w:lang w:val="en-US"/>
        </w:rPr>
        <w:t xml:space="preserve"> (</w:t>
      </w:r>
      <w:proofErr w:type="gramStart"/>
      <w:r w:rsidR="000B4EC6" w:rsidRPr="0042603A">
        <w:rPr>
          <w:rFonts w:asciiTheme="minorHAnsi" w:hAnsiTheme="minorHAnsi" w:cstheme="minorHAnsi"/>
          <w:sz w:val="20"/>
          <w:szCs w:val="20"/>
          <w:lang w:val="en-US"/>
        </w:rPr>
        <w:t>i.e.</w:t>
      </w:r>
      <w:proofErr w:type="gramEnd"/>
      <w:r w:rsidR="000B4EC6" w:rsidRPr="0042603A">
        <w:rPr>
          <w:rFonts w:asciiTheme="minorHAnsi" w:hAnsiTheme="minorHAnsi" w:cstheme="minorHAnsi"/>
          <w:sz w:val="20"/>
          <w:szCs w:val="20"/>
          <w:lang w:val="en-US"/>
        </w:rPr>
        <w:t xml:space="preserve"> comparable with the deviation found)</w:t>
      </w:r>
      <w:r w:rsidRPr="0042603A">
        <w:rPr>
          <w:rFonts w:asciiTheme="minorHAnsi" w:hAnsiTheme="minorHAnsi" w:cstheme="minorHAnsi"/>
          <w:sz w:val="20"/>
          <w:szCs w:val="20"/>
          <w:lang w:val="en-US"/>
        </w:rPr>
        <w:t xml:space="preserve">. As expected, the negative deviation for the experimental values become </w:t>
      </w:r>
      <w:r w:rsidR="00084F0D" w:rsidRPr="0042603A">
        <w:rPr>
          <w:rFonts w:asciiTheme="minorHAnsi" w:hAnsiTheme="minorHAnsi" w:cstheme="minorHAnsi"/>
          <w:sz w:val="20"/>
          <w:szCs w:val="20"/>
          <w:lang w:val="en-US"/>
        </w:rPr>
        <w:t>higher</w:t>
      </w:r>
      <w:r w:rsidRPr="0042603A">
        <w:rPr>
          <w:rFonts w:asciiTheme="minorHAnsi" w:hAnsiTheme="minorHAnsi" w:cstheme="minorHAnsi"/>
          <w:sz w:val="20"/>
          <w:szCs w:val="20"/>
          <w:lang w:val="en-US"/>
        </w:rPr>
        <w:t xml:space="preserve"> when the AGA8-DC92 is used (due to the positive offset of the AGA8-DC92 between both models in</w:t>
      </w:r>
      <w:r w:rsidR="006D12C9" w:rsidRPr="0042603A">
        <w:rPr>
          <w:rFonts w:asciiTheme="minorHAnsi" w:hAnsiTheme="minorHAnsi" w:cstheme="minorHAnsi"/>
          <w:sz w:val="20"/>
          <w:szCs w:val="20"/>
          <w:lang w:val="en-US"/>
        </w:rPr>
        <w:t xml:space="preserve"> </w:t>
      </w:r>
      <w:r w:rsidR="006D12C9" w:rsidRPr="0042603A">
        <w:rPr>
          <w:rFonts w:asciiTheme="minorHAnsi" w:hAnsiTheme="minorHAnsi" w:cstheme="minorHAnsi"/>
          <w:sz w:val="20"/>
          <w:szCs w:val="20"/>
          <w:lang w:val="en-US"/>
        </w:rPr>
        <w:fldChar w:fldCharType="begin"/>
      </w:r>
      <w:r w:rsidR="006D12C9" w:rsidRPr="0042603A">
        <w:rPr>
          <w:rFonts w:asciiTheme="minorHAnsi" w:hAnsiTheme="minorHAnsi" w:cstheme="minorHAnsi"/>
          <w:sz w:val="20"/>
          <w:szCs w:val="20"/>
          <w:lang w:val="en-US"/>
        </w:rPr>
        <w:instrText xml:space="preserve"> REF _Ref110337214 \h </w:instrText>
      </w:r>
      <w:r w:rsidR="00F668C6" w:rsidRPr="0042603A">
        <w:rPr>
          <w:rFonts w:asciiTheme="minorHAnsi" w:hAnsiTheme="minorHAnsi" w:cstheme="minorHAnsi"/>
          <w:sz w:val="20"/>
          <w:szCs w:val="20"/>
          <w:lang w:val="en-US"/>
        </w:rPr>
        <w:instrText xml:space="preserve"> \* MERGEFORMAT </w:instrText>
      </w:r>
      <w:r w:rsidR="006D12C9" w:rsidRPr="0042603A">
        <w:rPr>
          <w:rFonts w:asciiTheme="minorHAnsi" w:hAnsiTheme="minorHAnsi" w:cstheme="minorHAnsi"/>
          <w:sz w:val="20"/>
          <w:szCs w:val="20"/>
          <w:lang w:val="en-US"/>
        </w:rPr>
      </w:r>
      <w:r w:rsidR="006D12C9" w:rsidRPr="0042603A">
        <w:rPr>
          <w:rFonts w:asciiTheme="minorHAnsi" w:hAnsiTheme="minorHAnsi" w:cstheme="minorHAnsi"/>
          <w:sz w:val="20"/>
          <w:szCs w:val="20"/>
          <w:lang w:val="en-US"/>
        </w:rPr>
        <w:fldChar w:fldCharType="separate"/>
      </w:r>
      <w:r w:rsidR="006D12C9" w:rsidRPr="0042603A">
        <w:rPr>
          <w:rFonts w:asciiTheme="minorHAnsi" w:hAnsiTheme="minorHAnsi" w:cstheme="minorHAnsi"/>
          <w:b/>
          <w:color w:val="007AAE"/>
          <w:sz w:val="20"/>
          <w:szCs w:val="20"/>
        </w:rPr>
        <w:t>Figure 11</w:t>
      </w:r>
      <w:r w:rsidR="006D12C9" w:rsidRPr="0042603A">
        <w:rPr>
          <w:rFonts w:asciiTheme="minorHAnsi" w:hAnsiTheme="minorHAnsi" w:cstheme="minorHAnsi"/>
          <w:sz w:val="20"/>
          <w:szCs w:val="20"/>
          <w:lang w:val="en-US"/>
        </w:rPr>
        <w:fldChar w:fldCharType="end"/>
      </w:r>
      <w:r w:rsidRPr="0042603A">
        <w:rPr>
          <w:rFonts w:asciiTheme="minorHAnsi" w:hAnsiTheme="minorHAnsi" w:cstheme="minorHAnsi"/>
          <w:sz w:val="20"/>
          <w:szCs w:val="20"/>
          <w:lang w:val="en-US"/>
        </w:rPr>
        <w:t>), with a maximum negative deviation of -0.06%.</w:t>
      </w:r>
    </w:p>
    <w:p w14:paraId="57FBA5B3" w14:textId="586F4A29" w:rsidR="00BC19B8" w:rsidRPr="0042603A" w:rsidRDefault="00BC19B8" w:rsidP="00F668C6">
      <w:pPr>
        <w:pStyle w:val="BodyText"/>
        <w:jc w:val="both"/>
        <w:rPr>
          <w:rFonts w:asciiTheme="minorHAnsi" w:hAnsiTheme="minorHAnsi" w:cstheme="minorHAnsi"/>
          <w:sz w:val="20"/>
          <w:szCs w:val="20"/>
          <w:lang w:val="en-US"/>
        </w:rPr>
      </w:pPr>
      <w:r w:rsidRPr="0042603A">
        <w:rPr>
          <w:rFonts w:asciiTheme="minorHAnsi" w:hAnsiTheme="minorHAnsi" w:cstheme="minorHAnsi"/>
          <w:sz w:val="20"/>
          <w:szCs w:val="20"/>
          <w:lang w:val="en-US"/>
        </w:rPr>
        <w:t xml:space="preserve">Richter </w:t>
      </w:r>
      <w:r w:rsidRPr="0042603A">
        <w:rPr>
          <w:rFonts w:asciiTheme="minorHAnsi" w:hAnsiTheme="minorHAnsi" w:cstheme="minorHAnsi"/>
          <w:i/>
          <w:iCs/>
          <w:sz w:val="20"/>
          <w:szCs w:val="20"/>
          <w:lang w:val="en-US"/>
        </w:rPr>
        <w:t>et al.</w:t>
      </w:r>
      <w:r w:rsidRPr="0042603A">
        <w:rPr>
          <w:rFonts w:asciiTheme="minorHAnsi" w:hAnsiTheme="minorHAnsi" w:cstheme="minorHAnsi"/>
          <w:sz w:val="20"/>
          <w:szCs w:val="20"/>
          <w:lang w:val="en-US"/>
        </w:rPr>
        <w:t xml:space="preserve"> </w:t>
      </w:r>
      <w:r w:rsidR="00BC0CC1" w:rsidRPr="0042603A">
        <w:rPr>
          <w:rFonts w:asciiTheme="minorHAnsi" w:hAnsiTheme="minorHAnsi" w:cstheme="minorHAnsi"/>
          <w:b/>
          <w:bCs/>
          <w:color w:val="4472C4" w:themeColor="accent1"/>
          <w:sz w:val="20"/>
          <w:szCs w:val="20"/>
          <w:lang w:val="en-US"/>
        </w:rPr>
        <w:t>[</w:t>
      </w:r>
      <w:r w:rsidR="00F45F1D" w:rsidRPr="0042603A">
        <w:rPr>
          <w:rFonts w:asciiTheme="minorHAnsi" w:hAnsiTheme="minorHAnsi" w:cstheme="minorHAnsi"/>
          <w:b/>
          <w:bCs/>
          <w:color w:val="4472C4" w:themeColor="accent1"/>
          <w:sz w:val="20"/>
          <w:szCs w:val="20"/>
          <w:lang w:val="en-US"/>
        </w:rPr>
        <w:t>3</w:t>
      </w:r>
      <w:r w:rsidR="00BC0CC1" w:rsidRPr="0042603A">
        <w:rPr>
          <w:rFonts w:asciiTheme="minorHAnsi" w:hAnsiTheme="minorHAnsi" w:cstheme="minorHAnsi"/>
          <w:b/>
          <w:bCs/>
          <w:color w:val="4472C4" w:themeColor="accent1"/>
          <w:sz w:val="20"/>
          <w:szCs w:val="20"/>
          <w:lang w:val="en-US"/>
        </w:rPr>
        <w:t>3]</w:t>
      </w:r>
      <w:r w:rsidRPr="0042603A">
        <w:rPr>
          <w:rFonts w:asciiTheme="minorHAnsi" w:hAnsiTheme="minorHAnsi" w:cstheme="minorHAnsi"/>
          <w:b/>
          <w:bCs/>
          <w:color w:val="4472C4" w:themeColor="accent1"/>
          <w:sz w:val="20"/>
          <w:szCs w:val="20"/>
          <w:lang w:val="en-US"/>
        </w:rPr>
        <w:t xml:space="preserve"> </w:t>
      </w:r>
      <w:r w:rsidR="00B20577" w:rsidRPr="0042603A">
        <w:rPr>
          <w:rFonts w:asciiTheme="minorHAnsi" w:hAnsiTheme="minorHAnsi" w:cstheme="minorHAnsi"/>
          <w:color w:val="000000" w:themeColor="text1"/>
          <w:sz w:val="20"/>
          <w:szCs w:val="20"/>
          <w:lang w:val="en-US"/>
        </w:rPr>
        <w:t>used</w:t>
      </w:r>
      <w:r w:rsidR="00B20577" w:rsidRPr="0042603A">
        <w:rPr>
          <w:rFonts w:asciiTheme="minorHAnsi" w:hAnsiTheme="minorHAnsi" w:cstheme="minorHAnsi"/>
          <w:b/>
          <w:bCs/>
          <w:color w:val="4472C4" w:themeColor="accent1"/>
          <w:sz w:val="20"/>
          <w:szCs w:val="20"/>
          <w:lang w:val="en-US"/>
        </w:rPr>
        <w:t xml:space="preserve"> </w:t>
      </w:r>
      <w:r w:rsidRPr="0042603A">
        <w:rPr>
          <w:rFonts w:asciiTheme="minorHAnsi" w:hAnsiTheme="minorHAnsi" w:cstheme="minorHAnsi"/>
          <w:sz w:val="20"/>
          <w:szCs w:val="20"/>
          <w:lang w:val="en-US"/>
        </w:rPr>
        <w:t xml:space="preserve">a natural gas with higher concentrations of the hydrocarbon trace components </w:t>
      </w:r>
      <w:r w:rsidR="00B20577" w:rsidRPr="0042603A">
        <w:rPr>
          <w:rFonts w:asciiTheme="minorHAnsi" w:hAnsiTheme="minorHAnsi" w:cstheme="minorHAnsi"/>
          <w:sz w:val="20"/>
          <w:szCs w:val="20"/>
          <w:lang w:val="en-US"/>
        </w:rPr>
        <w:t xml:space="preserve">than Gómez </w:t>
      </w:r>
      <w:r w:rsidR="00B20577" w:rsidRPr="0042603A">
        <w:rPr>
          <w:rFonts w:asciiTheme="minorHAnsi" w:hAnsiTheme="minorHAnsi" w:cstheme="minorHAnsi"/>
          <w:i/>
          <w:iCs/>
          <w:sz w:val="20"/>
          <w:szCs w:val="20"/>
          <w:lang w:val="en-US"/>
        </w:rPr>
        <w:t>et al</w:t>
      </w:r>
      <w:r w:rsidR="00B20577" w:rsidRPr="0042603A">
        <w:rPr>
          <w:rFonts w:asciiTheme="minorHAnsi" w:hAnsiTheme="minorHAnsi" w:cstheme="minorHAnsi"/>
          <w:sz w:val="20"/>
          <w:szCs w:val="20"/>
          <w:lang w:val="en-US"/>
        </w:rPr>
        <w:t xml:space="preserve">. </w:t>
      </w:r>
      <w:r w:rsidR="00BC0CC1" w:rsidRPr="0042603A">
        <w:rPr>
          <w:rFonts w:asciiTheme="minorHAnsi" w:hAnsiTheme="minorHAnsi" w:cstheme="minorHAnsi"/>
          <w:sz w:val="20"/>
          <w:szCs w:val="20"/>
          <w:lang w:val="en-US"/>
        </w:rPr>
        <w:t xml:space="preserve"> </w:t>
      </w:r>
      <w:r w:rsidR="00BC0CC1" w:rsidRPr="0042603A">
        <w:rPr>
          <w:rFonts w:asciiTheme="minorHAnsi" w:hAnsiTheme="minorHAnsi" w:cstheme="minorHAnsi"/>
          <w:b/>
          <w:bCs/>
          <w:color w:val="4472C4" w:themeColor="accent1"/>
          <w:sz w:val="20"/>
          <w:szCs w:val="20"/>
          <w:lang w:val="en-US"/>
        </w:rPr>
        <w:t>[26]</w:t>
      </w:r>
      <w:r w:rsidRPr="0042603A">
        <w:rPr>
          <w:rFonts w:asciiTheme="minorHAnsi" w:hAnsiTheme="minorHAnsi" w:cstheme="minorHAnsi"/>
          <w:sz w:val="20"/>
          <w:szCs w:val="20"/>
          <w:lang w:val="en-US"/>
        </w:rPr>
        <w:t xml:space="preserve">, </w:t>
      </w:r>
      <w:r w:rsidR="00B20577" w:rsidRPr="0042603A">
        <w:rPr>
          <w:rFonts w:asciiTheme="minorHAnsi" w:hAnsiTheme="minorHAnsi" w:cstheme="minorHAnsi"/>
          <w:sz w:val="20"/>
          <w:szCs w:val="20"/>
          <w:lang w:val="en-US"/>
        </w:rPr>
        <w:t xml:space="preserve">and </w:t>
      </w:r>
      <w:r w:rsidRPr="0042603A">
        <w:rPr>
          <w:rFonts w:asciiTheme="minorHAnsi" w:hAnsiTheme="minorHAnsi" w:cstheme="minorHAnsi"/>
          <w:sz w:val="20"/>
          <w:szCs w:val="20"/>
          <w:lang w:val="en-US"/>
        </w:rPr>
        <w:t>with higher fractions of hydrogen: 5</w:t>
      </w:r>
      <w:r w:rsidR="00F45F1D" w:rsidRPr="0042603A">
        <w:rPr>
          <w:rFonts w:asciiTheme="minorHAnsi" w:hAnsiTheme="minorHAnsi" w:cstheme="minorHAnsi"/>
          <w:sz w:val="20"/>
          <w:szCs w:val="20"/>
          <w:lang w:val="en-US"/>
        </w:rPr>
        <w:t xml:space="preserve"> </w:t>
      </w:r>
      <w:r w:rsidRPr="0042603A">
        <w:rPr>
          <w:rFonts w:asciiTheme="minorHAnsi" w:hAnsiTheme="minorHAnsi" w:cstheme="minorHAnsi"/>
          <w:sz w:val="20"/>
          <w:szCs w:val="20"/>
          <w:lang w:val="en-US"/>
        </w:rPr>
        <w:t>%, 10</w:t>
      </w:r>
      <w:r w:rsidR="00F45F1D" w:rsidRPr="0042603A">
        <w:rPr>
          <w:rFonts w:asciiTheme="minorHAnsi" w:hAnsiTheme="minorHAnsi" w:cstheme="minorHAnsi"/>
          <w:sz w:val="20"/>
          <w:szCs w:val="20"/>
          <w:lang w:val="en-US"/>
        </w:rPr>
        <w:t xml:space="preserve"> </w:t>
      </w:r>
      <w:r w:rsidRPr="0042603A">
        <w:rPr>
          <w:rFonts w:asciiTheme="minorHAnsi" w:hAnsiTheme="minorHAnsi" w:cstheme="minorHAnsi"/>
          <w:sz w:val="20"/>
          <w:szCs w:val="20"/>
          <w:lang w:val="en-US"/>
        </w:rPr>
        <w:t>% and 30</w:t>
      </w:r>
      <w:r w:rsidR="004B6D41">
        <w:rPr>
          <w:rFonts w:asciiTheme="minorHAnsi" w:hAnsiTheme="minorHAnsi" w:cstheme="minorHAnsi"/>
          <w:sz w:val="20"/>
          <w:szCs w:val="20"/>
          <w:lang w:val="en-US"/>
        </w:rPr>
        <w:t xml:space="preserve"> </w:t>
      </w:r>
      <w:r w:rsidRPr="0042603A">
        <w:rPr>
          <w:rFonts w:asciiTheme="minorHAnsi" w:hAnsiTheme="minorHAnsi" w:cstheme="minorHAnsi"/>
          <w:sz w:val="20"/>
          <w:szCs w:val="20"/>
          <w:lang w:val="en-US"/>
        </w:rPr>
        <w:t xml:space="preserve">%. This experimental data </w:t>
      </w:r>
      <w:r w:rsidR="007F7C5D" w:rsidRPr="0042603A">
        <w:rPr>
          <w:rFonts w:asciiTheme="minorHAnsi" w:hAnsiTheme="minorHAnsi" w:cstheme="minorHAnsi"/>
          <w:sz w:val="20"/>
          <w:szCs w:val="20"/>
          <w:lang w:val="en-US"/>
        </w:rPr>
        <w:t>shows</w:t>
      </w:r>
      <w:r w:rsidRPr="0042603A">
        <w:rPr>
          <w:rFonts w:asciiTheme="minorHAnsi" w:hAnsiTheme="minorHAnsi" w:cstheme="minorHAnsi"/>
          <w:sz w:val="20"/>
          <w:szCs w:val="20"/>
          <w:lang w:val="en-US"/>
        </w:rPr>
        <w:t xml:space="preserve"> a positive deviation for the GERG-2008</w:t>
      </w:r>
      <w:r w:rsidR="007F7C5D" w:rsidRPr="0042603A">
        <w:rPr>
          <w:rFonts w:asciiTheme="minorHAnsi" w:hAnsiTheme="minorHAnsi" w:cstheme="minorHAnsi"/>
          <w:sz w:val="20"/>
          <w:szCs w:val="20"/>
          <w:lang w:val="en-US"/>
        </w:rPr>
        <w:t xml:space="preserve"> (i.e. GERG-2008 underestimating the experimental density)</w:t>
      </w:r>
      <w:r w:rsidRPr="0042603A">
        <w:rPr>
          <w:rFonts w:asciiTheme="minorHAnsi" w:hAnsiTheme="minorHAnsi" w:cstheme="minorHAnsi"/>
          <w:sz w:val="20"/>
          <w:szCs w:val="20"/>
          <w:lang w:val="en-US"/>
        </w:rPr>
        <w:t xml:space="preserve"> as a function of pressure for the range of interest, with maxima of about 0.05</w:t>
      </w:r>
      <w:r w:rsidR="00F45F1D" w:rsidRPr="0042603A">
        <w:rPr>
          <w:rFonts w:asciiTheme="minorHAnsi" w:hAnsiTheme="minorHAnsi" w:cstheme="minorHAnsi"/>
          <w:sz w:val="20"/>
          <w:szCs w:val="20"/>
          <w:lang w:val="en-US"/>
        </w:rPr>
        <w:t xml:space="preserve"> </w:t>
      </w:r>
      <w:r w:rsidRPr="0042603A">
        <w:rPr>
          <w:rFonts w:asciiTheme="minorHAnsi" w:hAnsiTheme="minorHAnsi" w:cstheme="minorHAnsi"/>
          <w:sz w:val="20"/>
          <w:szCs w:val="20"/>
          <w:lang w:val="en-US"/>
        </w:rPr>
        <w:t>%</w:t>
      </w:r>
      <w:r w:rsidR="00971891" w:rsidRPr="00971891">
        <w:t xml:space="preserve"> </w:t>
      </w:r>
      <w:r w:rsidR="00971891" w:rsidRPr="00971891">
        <w:rPr>
          <w:rFonts w:asciiTheme="minorHAnsi" w:hAnsiTheme="minorHAnsi" w:cstheme="minorHAnsi"/>
          <w:sz w:val="20"/>
          <w:szCs w:val="20"/>
          <w:lang w:val="en-US"/>
        </w:rPr>
        <w:t>for the 5 and 10</w:t>
      </w:r>
      <w:r w:rsidR="00971891">
        <w:rPr>
          <w:rFonts w:asciiTheme="minorHAnsi" w:hAnsiTheme="minorHAnsi" w:cstheme="minorHAnsi"/>
          <w:sz w:val="20"/>
          <w:szCs w:val="20"/>
          <w:lang w:val="en-US"/>
        </w:rPr>
        <w:t xml:space="preserve"> </w:t>
      </w:r>
      <w:r w:rsidR="00971891" w:rsidRPr="00971891">
        <w:rPr>
          <w:rFonts w:asciiTheme="minorHAnsi" w:hAnsiTheme="minorHAnsi" w:cstheme="minorHAnsi"/>
          <w:sz w:val="20"/>
          <w:szCs w:val="20"/>
          <w:lang w:val="en-US"/>
        </w:rPr>
        <w:t xml:space="preserve">% mixture </w:t>
      </w:r>
      <w:r w:rsidR="00971891">
        <w:rPr>
          <w:rFonts w:asciiTheme="minorHAnsi" w:hAnsiTheme="minorHAnsi" w:cstheme="minorHAnsi"/>
          <w:sz w:val="20"/>
          <w:szCs w:val="20"/>
          <w:lang w:val="en-US"/>
        </w:rPr>
        <w:t>that raised</w:t>
      </w:r>
      <w:r w:rsidR="00971891" w:rsidRPr="00971891">
        <w:rPr>
          <w:rFonts w:asciiTheme="minorHAnsi" w:hAnsiTheme="minorHAnsi" w:cstheme="minorHAnsi"/>
          <w:sz w:val="20"/>
          <w:szCs w:val="20"/>
          <w:lang w:val="en-US"/>
        </w:rPr>
        <w:t xml:space="preserve"> to a value of about 0.1</w:t>
      </w:r>
      <w:r w:rsidR="00971891">
        <w:rPr>
          <w:rFonts w:asciiTheme="minorHAnsi" w:hAnsiTheme="minorHAnsi" w:cstheme="minorHAnsi"/>
          <w:sz w:val="20"/>
          <w:szCs w:val="20"/>
          <w:lang w:val="en-US"/>
        </w:rPr>
        <w:t xml:space="preserve"> </w:t>
      </w:r>
      <w:r w:rsidR="00971891" w:rsidRPr="00971891">
        <w:rPr>
          <w:rFonts w:asciiTheme="minorHAnsi" w:hAnsiTheme="minorHAnsi" w:cstheme="minorHAnsi"/>
          <w:sz w:val="20"/>
          <w:szCs w:val="20"/>
          <w:lang w:val="en-US"/>
        </w:rPr>
        <w:t>% for the 30</w:t>
      </w:r>
      <w:r w:rsidR="00971891">
        <w:rPr>
          <w:rFonts w:asciiTheme="minorHAnsi" w:hAnsiTheme="minorHAnsi" w:cstheme="minorHAnsi"/>
          <w:sz w:val="20"/>
          <w:szCs w:val="20"/>
          <w:lang w:val="en-US"/>
        </w:rPr>
        <w:t xml:space="preserve"> </w:t>
      </w:r>
      <w:r w:rsidR="00971891" w:rsidRPr="00971891">
        <w:rPr>
          <w:rFonts w:asciiTheme="minorHAnsi" w:hAnsiTheme="minorHAnsi" w:cstheme="minorHAnsi"/>
          <w:sz w:val="20"/>
          <w:szCs w:val="20"/>
          <w:lang w:val="en-US"/>
        </w:rPr>
        <w:t xml:space="preserve">% </w:t>
      </w:r>
      <w:proofErr w:type="gramStart"/>
      <w:r w:rsidR="00971891" w:rsidRPr="00971891">
        <w:rPr>
          <w:rFonts w:asciiTheme="minorHAnsi" w:hAnsiTheme="minorHAnsi" w:cstheme="minorHAnsi"/>
          <w:sz w:val="20"/>
          <w:szCs w:val="20"/>
          <w:lang w:val="en-US"/>
        </w:rPr>
        <w:t>mixture</w:t>
      </w:r>
      <w:r w:rsidR="00971891">
        <w:rPr>
          <w:rFonts w:asciiTheme="minorHAnsi" w:hAnsiTheme="minorHAnsi" w:cstheme="minorHAnsi"/>
          <w:sz w:val="20"/>
          <w:szCs w:val="20"/>
          <w:lang w:val="en-US"/>
        </w:rPr>
        <w:t xml:space="preserve"> </w:t>
      </w:r>
      <w:r w:rsidRPr="0042603A">
        <w:rPr>
          <w:rFonts w:asciiTheme="minorHAnsi" w:hAnsiTheme="minorHAnsi" w:cstheme="minorHAnsi"/>
          <w:sz w:val="20"/>
          <w:szCs w:val="20"/>
          <w:lang w:val="en-US"/>
        </w:rPr>
        <w:t>.</w:t>
      </w:r>
      <w:proofErr w:type="gramEnd"/>
      <w:r w:rsidRPr="0042603A">
        <w:rPr>
          <w:rFonts w:asciiTheme="minorHAnsi" w:hAnsiTheme="minorHAnsi" w:cstheme="minorHAnsi"/>
          <w:sz w:val="20"/>
          <w:szCs w:val="20"/>
          <w:lang w:val="en-US"/>
        </w:rPr>
        <w:t xml:space="preserve"> The differences observed between ref</w:t>
      </w:r>
      <w:r w:rsidR="00BC0CC1" w:rsidRPr="0042603A">
        <w:rPr>
          <w:rFonts w:asciiTheme="minorHAnsi" w:hAnsiTheme="minorHAnsi" w:cstheme="minorHAnsi"/>
          <w:sz w:val="20"/>
          <w:szCs w:val="20"/>
          <w:lang w:val="en-US"/>
        </w:rPr>
        <w:t xml:space="preserve">erence </w:t>
      </w:r>
      <w:r w:rsidR="00BC0CC1" w:rsidRPr="0042603A">
        <w:rPr>
          <w:rFonts w:asciiTheme="minorHAnsi" w:hAnsiTheme="minorHAnsi" w:cstheme="minorHAnsi"/>
          <w:b/>
          <w:bCs/>
          <w:color w:val="4472C4" w:themeColor="accent1"/>
          <w:sz w:val="20"/>
          <w:szCs w:val="20"/>
          <w:lang w:val="en-US"/>
        </w:rPr>
        <w:t>[26]</w:t>
      </w:r>
      <w:r w:rsidR="00BC0CC1" w:rsidRPr="0042603A">
        <w:rPr>
          <w:rFonts w:asciiTheme="minorHAnsi" w:hAnsiTheme="minorHAnsi" w:cstheme="minorHAnsi"/>
          <w:color w:val="4472C4" w:themeColor="accent1"/>
          <w:sz w:val="20"/>
          <w:szCs w:val="20"/>
          <w:lang w:val="en-US"/>
        </w:rPr>
        <w:t xml:space="preserve"> </w:t>
      </w:r>
      <w:r w:rsidR="00BC0CC1" w:rsidRPr="0042603A">
        <w:rPr>
          <w:rFonts w:asciiTheme="minorHAnsi" w:hAnsiTheme="minorHAnsi" w:cstheme="minorHAnsi"/>
          <w:sz w:val="20"/>
          <w:szCs w:val="20"/>
          <w:lang w:val="en-US"/>
        </w:rPr>
        <w:t xml:space="preserve">and </w:t>
      </w:r>
      <w:r w:rsidR="00BC0CC1" w:rsidRPr="0042603A">
        <w:rPr>
          <w:rFonts w:asciiTheme="minorHAnsi" w:hAnsiTheme="minorHAnsi" w:cstheme="minorHAnsi"/>
          <w:b/>
          <w:bCs/>
          <w:color w:val="4472C4" w:themeColor="accent1"/>
          <w:sz w:val="20"/>
          <w:szCs w:val="20"/>
          <w:lang w:val="en-US"/>
        </w:rPr>
        <w:t>[</w:t>
      </w:r>
      <w:r w:rsidR="00F45F1D" w:rsidRPr="0042603A">
        <w:rPr>
          <w:rFonts w:asciiTheme="minorHAnsi" w:hAnsiTheme="minorHAnsi" w:cstheme="minorHAnsi"/>
          <w:b/>
          <w:bCs/>
          <w:color w:val="4472C4" w:themeColor="accent1"/>
          <w:sz w:val="20"/>
          <w:szCs w:val="20"/>
          <w:lang w:val="en-US"/>
        </w:rPr>
        <w:t>3</w:t>
      </w:r>
      <w:r w:rsidR="00BC0CC1" w:rsidRPr="0042603A">
        <w:rPr>
          <w:rFonts w:asciiTheme="minorHAnsi" w:hAnsiTheme="minorHAnsi" w:cstheme="minorHAnsi"/>
          <w:b/>
          <w:bCs/>
          <w:color w:val="4472C4" w:themeColor="accent1"/>
          <w:sz w:val="20"/>
          <w:szCs w:val="20"/>
          <w:lang w:val="en-US"/>
        </w:rPr>
        <w:t>3]</w:t>
      </w:r>
      <w:r w:rsidRPr="0042603A">
        <w:rPr>
          <w:rFonts w:asciiTheme="minorHAnsi" w:hAnsiTheme="minorHAnsi" w:cstheme="minorHAnsi"/>
          <w:sz w:val="20"/>
          <w:szCs w:val="20"/>
          <w:lang w:val="en-US"/>
        </w:rPr>
        <w:t xml:space="preserve">, indicate the inherent uncertainty that needs to be </w:t>
      </w:r>
      <w:proofErr w:type="gramStart"/>
      <w:r w:rsidRPr="0042603A">
        <w:rPr>
          <w:rFonts w:asciiTheme="minorHAnsi" w:hAnsiTheme="minorHAnsi" w:cstheme="minorHAnsi"/>
          <w:sz w:val="20"/>
          <w:szCs w:val="20"/>
          <w:lang w:val="en-US"/>
        </w:rPr>
        <w:t>taken into account</w:t>
      </w:r>
      <w:proofErr w:type="gramEnd"/>
      <w:r w:rsidRPr="0042603A">
        <w:rPr>
          <w:rFonts w:asciiTheme="minorHAnsi" w:hAnsiTheme="minorHAnsi" w:cstheme="minorHAnsi"/>
          <w:sz w:val="20"/>
          <w:szCs w:val="20"/>
          <w:lang w:val="en-US"/>
        </w:rPr>
        <w:t xml:space="preserve"> when selecting an appropriate equation of state.</w:t>
      </w:r>
    </w:p>
    <w:p w14:paraId="6C10A8A7" w14:textId="59F2E4C4" w:rsidR="00BC19B8" w:rsidRPr="0042603A" w:rsidRDefault="00BC19B8" w:rsidP="00F668C6">
      <w:pPr>
        <w:pStyle w:val="BodyText"/>
        <w:jc w:val="both"/>
        <w:rPr>
          <w:rFonts w:asciiTheme="minorHAnsi" w:hAnsiTheme="minorHAnsi" w:cstheme="minorHAnsi"/>
          <w:sz w:val="20"/>
          <w:szCs w:val="20"/>
          <w:lang w:val="en-US"/>
        </w:rPr>
      </w:pPr>
      <w:r w:rsidRPr="0042603A">
        <w:rPr>
          <w:rFonts w:asciiTheme="minorHAnsi" w:hAnsiTheme="minorHAnsi" w:cstheme="minorHAnsi"/>
          <w:sz w:val="20"/>
          <w:szCs w:val="20"/>
          <w:lang w:val="en-US"/>
        </w:rPr>
        <w:t>Results from</w:t>
      </w:r>
      <w:r w:rsidR="00BC0CC1" w:rsidRPr="0042603A">
        <w:rPr>
          <w:rFonts w:asciiTheme="minorHAnsi" w:hAnsiTheme="minorHAnsi" w:cstheme="minorHAnsi"/>
          <w:sz w:val="20"/>
          <w:szCs w:val="20"/>
          <w:lang w:val="en-US"/>
        </w:rPr>
        <w:t xml:space="preserve"> </w:t>
      </w:r>
      <w:r w:rsidR="00BC0CC1" w:rsidRPr="0042603A">
        <w:rPr>
          <w:rFonts w:asciiTheme="minorHAnsi" w:hAnsiTheme="minorHAnsi" w:cstheme="minorHAnsi"/>
          <w:b/>
          <w:bCs/>
          <w:color w:val="4472C4" w:themeColor="accent1"/>
          <w:sz w:val="20"/>
          <w:szCs w:val="20"/>
          <w:lang w:val="en-US"/>
        </w:rPr>
        <w:t>[26]</w:t>
      </w:r>
      <w:r w:rsidRPr="0042603A">
        <w:rPr>
          <w:rFonts w:asciiTheme="minorHAnsi" w:hAnsiTheme="minorHAnsi" w:cstheme="minorHAnsi"/>
          <w:color w:val="4472C4" w:themeColor="accent1"/>
          <w:sz w:val="20"/>
          <w:szCs w:val="20"/>
          <w:lang w:val="en-US"/>
        </w:rPr>
        <w:t xml:space="preserve"> </w:t>
      </w:r>
      <w:r w:rsidRPr="0042603A">
        <w:rPr>
          <w:rFonts w:asciiTheme="minorHAnsi" w:hAnsiTheme="minorHAnsi" w:cstheme="minorHAnsi"/>
          <w:sz w:val="20"/>
          <w:szCs w:val="20"/>
          <w:lang w:val="en-US"/>
        </w:rPr>
        <w:t>considered binary mixtures of methane and hydrogen, with concentrations of 10</w:t>
      </w:r>
      <w:r w:rsidR="000D5ED4" w:rsidRPr="0042603A">
        <w:rPr>
          <w:rFonts w:asciiTheme="minorHAnsi" w:hAnsiTheme="minorHAnsi" w:cstheme="minorHAnsi"/>
          <w:sz w:val="20"/>
          <w:szCs w:val="20"/>
          <w:lang w:val="en-US"/>
        </w:rPr>
        <w:t xml:space="preserve"> </w:t>
      </w:r>
      <w:r w:rsidRPr="0042603A">
        <w:rPr>
          <w:rFonts w:asciiTheme="minorHAnsi" w:hAnsiTheme="minorHAnsi" w:cstheme="minorHAnsi"/>
          <w:sz w:val="20"/>
          <w:szCs w:val="20"/>
          <w:lang w:val="en-US"/>
        </w:rPr>
        <w:t>% and 50</w:t>
      </w:r>
      <w:r w:rsidR="000D5ED4" w:rsidRPr="0042603A">
        <w:rPr>
          <w:rFonts w:asciiTheme="minorHAnsi" w:hAnsiTheme="minorHAnsi" w:cstheme="minorHAnsi"/>
          <w:sz w:val="20"/>
          <w:szCs w:val="20"/>
          <w:lang w:val="en-US"/>
        </w:rPr>
        <w:t xml:space="preserve"> </w:t>
      </w:r>
      <w:r w:rsidRPr="0042603A">
        <w:rPr>
          <w:rFonts w:asciiTheme="minorHAnsi" w:hAnsiTheme="minorHAnsi" w:cstheme="minorHAnsi"/>
          <w:sz w:val="20"/>
          <w:szCs w:val="20"/>
          <w:lang w:val="en-US"/>
        </w:rPr>
        <w:t>%. Their comparison with the GERG2008 for 10</w:t>
      </w:r>
      <w:r w:rsidR="000D5ED4" w:rsidRPr="0042603A">
        <w:rPr>
          <w:rFonts w:asciiTheme="minorHAnsi" w:hAnsiTheme="minorHAnsi" w:cstheme="minorHAnsi"/>
          <w:sz w:val="20"/>
          <w:szCs w:val="20"/>
          <w:lang w:val="en-US"/>
        </w:rPr>
        <w:t xml:space="preserve"> </w:t>
      </w:r>
      <w:r w:rsidRPr="0042603A">
        <w:rPr>
          <w:rFonts w:asciiTheme="minorHAnsi" w:hAnsiTheme="minorHAnsi" w:cstheme="minorHAnsi"/>
          <w:sz w:val="20"/>
          <w:szCs w:val="20"/>
          <w:lang w:val="en-US"/>
        </w:rPr>
        <w:t>% hydrogen is in line with the presented results (&lt;0.05</w:t>
      </w:r>
      <w:r w:rsidR="000D5ED4" w:rsidRPr="0042603A">
        <w:rPr>
          <w:rFonts w:asciiTheme="minorHAnsi" w:hAnsiTheme="minorHAnsi" w:cstheme="minorHAnsi"/>
          <w:sz w:val="20"/>
          <w:szCs w:val="20"/>
          <w:lang w:val="en-US"/>
        </w:rPr>
        <w:t xml:space="preserve"> </w:t>
      </w:r>
      <w:r w:rsidRPr="0042603A">
        <w:rPr>
          <w:rFonts w:asciiTheme="minorHAnsi" w:hAnsiTheme="minorHAnsi" w:cstheme="minorHAnsi"/>
          <w:sz w:val="20"/>
          <w:szCs w:val="20"/>
          <w:lang w:val="en-US"/>
        </w:rPr>
        <w:t>%), however, larger deviations are obtained for 50</w:t>
      </w:r>
      <w:r w:rsidR="000D5ED4" w:rsidRPr="0042603A">
        <w:rPr>
          <w:rFonts w:asciiTheme="minorHAnsi" w:hAnsiTheme="minorHAnsi" w:cstheme="minorHAnsi"/>
          <w:sz w:val="20"/>
          <w:szCs w:val="20"/>
          <w:lang w:val="en-US"/>
        </w:rPr>
        <w:t xml:space="preserve"> </w:t>
      </w:r>
      <w:r w:rsidRPr="0042603A">
        <w:rPr>
          <w:rFonts w:asciiTheme="minorHAnsi" w:hAnsiTheme="minorHAnsi" w:cstheme="minorHAnsi"/>
          <w:sz w:val="20"/>
          <w:szCs w:val="20"/>
          <w:lang w:val="en-US"/>
        </w:rPr>
        <w:t>% hydrogen, up to 0.1</w:t>
      </w:r>
      <w:r w:rsidR="00971891">
        <w:rPr>
          <w:rFonts w:asciiTheme="minorHAnsi" w:hAnsiTheme="minorHAnsi" w:cstheme="minorHAnsi"/>
          <w:sz w:val="20"/>
          <w:szCs w:val="20"/>
          <w:lang w:val="en-US"/>
        </w:rPr>
        <w:t xml:space="preserve"> </w:t>
      </w:r>
      <w:r w:rsidRPr="0042603A">
        <w:rPr>
          <w:rFonts w:asciiTheme="minorHAnsi" w:hAnsiTheme="minorHAnsi" w:cstheme="minorHAnsi"/>
          <w:sz w:val="20"/>
          <w:szCs w:val="20"/>
          <w:lang w:val="en-US"/>
        </w:rPr>
        <w:t xml:space="preserve">% for the range of interest. </w:t>
      </w:r>
    </w:p>
    <w:p w14:paraId="270E5756" w14:textId="77777777" w:rsidR="00BC19B8" w:rsidRPr="00BC19B8" w:rsidRDefault="00BC19B8" w:rsidP="00F668C6">
      <w:pPr>
        <w:jc w:val="both"/>
      </w:pPr>
    </w:p>
    <w:p w14:paraId="5C604424" w14:textId="1687CC5E" w:rsidR="00BC19B8" w:rsidRDefault="00BC19B8" w:rsidP="00F668C6">
      <w:pPr>
        <w:pStyle w:val="Heading3"/>
        <w:jc w:val="both"/>
        <w:rPr>
          <w:rFonts w:eastAsiaTheme="minorEastAsia"/>
          <w:lang w:val="en-US"/>
        </w:rPr>
      </w:pPr>
      <w:bookmarkStart w:id="51" w:name="_Toc121830947"/>
      <w:r>
        <w:t xml:space="preserve">5.1.2 </w:t>
      </w:r>
      <w:r w:rsidR="001E0DD6">
        <w:rPr>
          <w:rFonts w:eastAsiaTheme="minorEastAsia"/>
          <w:lang w:val="en-US"/>
        </w:rPr>
        <w:t>SPEED OF SOUND</w:t>
      </w:r>
      <w:bookmarkEnd w:id="51"/>
    </w:p>
    <w:p w14:paraId="2D9135AF" w14:textId="482D989F" w:rsidR="00BC19B8" w:rsidRPr="0042603A" w:rsidRDefault="00BC19B8" w:rsidP="00F668C6">
      <w:pPr>
        <w:pStyle w:val="BodyText"/>
        <w:jc w:val="both"/>
        <w:rPr>
          <w:rFonts w:asciiTheme="minorHAnsi" w:hAnsiTheme="minorHAnsi" w:cstheme="minorHAnsi"/>
          <w:sz w:val="20"/>
          <w:szCs w:val="20"/>
          <w:lang w:val="en-US"/>
        </w:rPr>
      </w:pPr>
      <w:proofErr w:type="gramStart"/>
      <w:r w:rsidRPr="0042603A">
        <w:rPr>
          <w:rFonts w:asciiTheme="minorHAnsi" w:hAnsiTheme="minorHAnsi" w:cstheme="minorHAnsi"/>
          <w:sz w:val="20"/>
          <w:szCs w:val="20"/>
          <w:lang w:val="en-US"/>
        </w:rPr>
        <w:t xml:space="preserve">Similar </w:t>
      </w:r>
      <w:r w:rsidR="004566E8" w:rsidRPr="0042603A">
        <w:rPr>
          <w:rFonts w:asciiTheme="minorHAnsi" w:hAnsiTheme="minorHAnsi" w:cstheme="minorHAnsi"/>
          <w:sz w:val="20"/>
          <w:szCs w:val="20"/>
          <w:lang w:val="en-US"/>
        </w:rPr>
        <w:t>to</w:t>
      </w:r>
      <w:proofErr w:type="gramEnd"/>
      <w:r w:rsidR="004566E8" w:rsidRPr="0042603A">
        <w:rPr>
          <w:rFonts w:asciiTheme="minorHAnsi" w:hAnsiTheme="minorHAnsi" w:cstheme="minorHAnsi"/>
          <w:sz w:val="20"/>
          <w:szCs w:val="20"/>
          <w:lang w:val="en-US"/>
        </w:rPr>
        <w:t xml:space="preserve"> </w:t>
      </w:r>
      <w:r w:rsidRPr="0042603A">
        <w:rPr>
          <w:rFonts w:asciiTheme="minorHAnsi" w:hAnsiTheme="minorHAnsi" w:cstheme="minorHAnsi"/>
          <w:sz w:val="20"/>
          <w:szCs w:val="20"/>
          <w:lang w:val="en-US"/>
        </w:rPr>
        <w:t xml:space="preserve">density, the speed of sound can be calculated </w:t>
      </w:r>
      <w:r w:rsidR="004566E8" w:rsidRPr="0042603A">
        <w:rPr>
          <w:rFonts w:asciiTheme="minorHAnsi" w:hAnsiTheme="minorHAnsi" w:cstheme="minorHAnsi"/>
          <w:sz w:val="20"/>
          <w:szCs w:val="20"/>
          <w:lang w:val="en-US"/>
        </w:rPr>
        <w:t xml:space="preserve">by specifying an </w:t>
      </w:r>
      <w:r w:rsidRPr="0042603A">
        <w:rPr>
          <w:rFonts w:asciiTheme="minorHAnsi" w:hAnsiTheme="minorHAnsi" w:cstheme="minorHAnsi"/>
          <w:sz w:val="20"/>
          <w:szCs w:val="20"/>
          <w:lang w:val="en-US"/>
        </w:rPr>
        <w:t xml:space="preserve">equation of state. The speed of sound is related to the density-pressure relation under isentropic conditions. The </w:t>
      </w:r>
      <w:r w:rsidR="000B5803" w:rsidRPr="0042603A">
        <w:rPr>
          <w:rFonts w:asciiTheme="minorHAnsi" w:hAnsiTheme="minorHAnsi" w:cstheme="minorHAnsi"/>
          <w:sz w:val="20"/>
          <w:szCs w:val="20"/>
          <w:lang w:val="en-US"/>
        </w:rPr>
        <w:t>speed of sound difference between the AGA8-DC92 and the GERG2008</w:t>
      </w:r>
      <w:r w:rsidR="00876408">
        <w:rPr>
          <w:rFonts w:asciiTheme="minorHAnsi" w:hAnsiTheme="minorHAnsi" w:cstheme="minorHAnsi"/>
          <w:sz w:val="20"/>
          <w:szCs w:val="20"/>
          <w:lang w:val="en-US"/>
        </w:rPr>
        <w:t xml:space="preserve"> </w:t>
      </w:r>
      <w:r w:rsidRPr="0042603A">
        <w:rPr>
          <w:rFonts w:asciiTheme="minorHAnsi" w:hAnsiTheme="minorHAnsi" w:cstheme="minorHAnsi"/>
          <w:sz w:val="20"/>
          <w:szCs w:val="20"/>
          <w:lang w:val="en-US"/>
        </w:rPr>
        <w:t xml:space="preserve">results are shown in </w:t>
      </w:r>
      <w:r w:rsidR="00F668C6" w:rsidRPr="0042603A">
        <w:rPr>
          <w:rFonts w:asciiTheme="minorHAnsi" w:hAnsiTheme="minorHAnsi" w:cstheme="minorHAnsi"/>
          <w:sz w:val="20"/>
          <w:szCs w:val="20"/>
          <w:lang w:val="en-US"/>
        </w:rPr>
        <w:fldChar w:fldCharType="begin"/>
      </w:r>
      <w:r w:rsidR="00F668C6" w:rsidRPr="0042603A">
        <w:rPr>
          <w:rFonts w:asciiTheme="minorHAnsi" w:hAnsiTheme="minorHAnsi" w:cstheme="minorHAnsi"/>
          <w:sz w:val="20"/>
          <w:szCs w:val="20"/>
          <w:lang w:val="en-US"/>
        </w:rPr>
        <w:instrText xml:space="preserve"> REF _Ref110337450 \h </w:instrText>
      </w:r>
      <w:r w:rsidR="0042603A" w:rsidRPr="0042603A">
        <w:rPr>
          <w:rFonts w:asciiTheme="minorHAnsi" w:hAnsiTheme="minorHAnsi" w:cstheme="minorHAnsi"/>
          <w:sz w:val="20"/>
          <w:szCs w:val="20"/>
          <w:lang w:val="en-US"/>
        </w:rPr>
        <w:instrText xml:space="preserve"> \* MERGEFORMAT </w:instrText>
      </w:r>
      <w:r w:rsidR="00F668C6" w:rsidRPr="0042603A">
        <w:rPr>
          <w:rFonts w:asciiTheme="minorHAnsi" w:hAnsiTheme="minorHAnsi" w:cstheme="minorHAnsi"/>
          <w:sz w:val="20"/>
          <w:szCs w:val="20"/>
          <w:lang w:val="en-US"/>
        </w:rPr>
      </w:r>
      <w:r w:rsidR="00F668C6" w:rsidRPr="0042603A">
        <w:rPr>
          <w:rFonts w:asciiTheme="minorHAnsi" w:hAnsiTheme="minorHAnsi" w:cstheme="minorHAnsi"/>
          <w:sz w:val="20"/>
          <w:szCs w:val="20"/>
          <w:lang w:val="en-US"/>
        </w:rPr>
        <w:fldChar w:fldCharType="separate"/>
      </w:r>
      <w:r w:rsidR="00F668C6" w:rsidRPr="0042603A">
        <w:rPr>
          <w:rFonts w:asciiTheme="minorHAnsi" w:hAnsiTheme="minorHAnsi" w:cstheme="minorHAnsi"/>
          <w:b/>
          <w:color w:val="007AAE"/>
          <w:sz w:val="20"/>
          <w:szCs w:val="20"/>
        </w:rPr>
        <w:t>Figure 12</w:t>
      </w:r>
      <w:r w:rsidR="00F668C6" w:rsidRPr="0042603A">
        <w:rPr>
          <w:rFonts w:asciiTheme="minorHAnsi" w:hAnsiTheme="minorHAnsi" w:cstheme="minorHAnsi"/>
          <w:sz w:val="20"/>
          <w:szCs w:val="20"/>
          <w:lang w:val="en-US"/>
        </w:rPr>
        <w:fldChar w:fldCharType="end"/>
      </w:r>
      <w:r w:rsidRPr="0042603A">
        <w:rPr>
          <w:rFonts w:asciiTheme="minorHAnsi" w:hAnsiTheme="minorHAnsi" w:cstheme="minorHAnsi"/>
          <w:sz w:val="20"/>
          <w:szCs w:val="20"/>
          <w:lang w:val="en-US"/>
        </w:rPr>
        <w:t xml:space="preserve">. </w:t>
      </w:r>
      <w:r w:rsidR="000B5803" w:rsidRPr="0042603A">
        <w:rPr>
          <w:rFonts w:asciiTheme="minorHAnsi" w:hAnsiTheme="minorHAnsi" w:cstheme="minorHAnsi"/>
          <w:sz w:val="20"/>
          <w:szCs w:val="20"/>
          <w:lang w:val="en-US"/>
        </w:rPr>
        <w:t>T</w:t>
      </w:r>
      <w:r w:rsidRPr="0042603A">
        <w:rPr>
          <w:rFonts w:asciiTheme="minorHAnsi" w:hAnsiTheme="minorHAnsi" w:cstheme="minorHAnsi"/>
          <w:sz w:val="20"/>
          <w:szCs w:val="20"/>
          <w:lang w:val="en-US"/>
        </w:rPr>
        <w:t>he deviations are approximately within 0.05</w:t>
      </w:r>
      <w:r w:rsidR="00677F97">
        <w:rPr>
          <w:rFonts w:asciiTheme="minorHAnsi" w:hAnsiTheme="minorHAnsi" w:cstheme="minorHAnsi"/>
          <w:sz w:val="20"/>
          <w:szCs w:val="20"/>
          <w:lang w:val="en-US"/>
        </w:rPr>
        <w:t xml:space="preserve"> </w:t>
      </w:r>
      <w:r w:rsidRPr="0042603A">
        <w:rPr>
          <w:rFonts w:asciiTheme="minorHAnsi" w:hAnsiTheme="minorHAnsi" w:cstheme="minorHAnsi"/>
          <w:sz w:val="20"/>
          <w:szCs w:val="20"/>
          <w:lang w:val="en-US"/>
        </w:rPr>
        <w:t>%</w:t>
      </w:r>
      <w:r w:rsidR="000B5803" w:rsidRPr="0042603A">
        <w:rPr>
          <w:rFonts w:asciiTheme="minorHAnsi" w:hAnsiTheme="minorHAnsi" w:cstheme="minorHAnsi"/>
          <w:sz w:val="20"/>
          <w:szCs w:val="20"/>
          <w:lang w:val="en-US"/>
        </w:rPr>
        <w:t xml:space="preserve"> up to 20 % H</w:t>
      </w:r>
      <w:r w:rsidR="00B71F90" w:rsidRPr="0042603A">
        <w:rPr>
          <w:rFonts w:asciiTheme="minorHAnsi" w:hAnsiTheme="minorHAnsi" w:cstheme="minorHAnsi"/>
          <w:sz w:val="20"/>
          <w:szCs w:val="20"/>
          <w:lang w:val="en-US"/>
        </w:rPr>
        <w:t>ydrogen concentration.</w:t>
      </w:r>
      <w:r w:rsidRPr="0042603A">
        <w:rPr>
          <w:rFonts w:asciiTheme="minorHAnsi" w:hAnsiTheme="minorHAnsi" w:cstheme="minorHAnsi"/>
          <w:sz w:val="20"/>
          <w:szCs w:val="20"/>
          <w:lang w:val="en-US"/>
        </w:rPr>
        <w:t xml:space="preserve"> </w:t>
      </w:r>
      <w:r w:rsidR="00B71F90" w:rsidRPr="0042603A">
        <w:rPr>
          <w:rFonts w:asciiTheme="minorHAnsi" w:hAnsiTheme="minorHAnsi" w:cstheme="minorHAnsi"/>
          <w:sz w:val="20"/>
          <w:szCs w:val="20"/>
          <w:lang w:val="en-US"/>
        </w:rPr>
        <w:t>H</w:t>
      </w:r>
      <w:r w:rsidRPr="0042603A">
        <w:rPr>
          <w:rFonts w:asciiTheme="minorHAnsi" w:hAnsiTheme="minorHAnsi" w:cstheme="minorHAnsi"/>
          <w:sz w:val="20"/>
          <w:szCs w:val="20"/>
          <w:lang w:val="en-US"/>
        </w:rPr>
        <w:t>owever</w:t>
      </w:r>
      <w:r w:rsidR="00B71F90" w:rsidRPr="0042603A">
        <w:rPr>
          <w:rFonts w:asciiTheme="minorHAnsi" w:hAnsiTheme="minorHAnsi" w:cstheme="minorHAnsi"/>
          <w:sz w:val="20"/>
          <w:szCs w:val="20"/>
          <w:lang w:val="en-US"/>
        </w:rPr>
        <w:t>,</w:t>
      </w:r>
      <w:r w:rsidRPr="0042603A">
        <w:rPr>
          <w:rFonts w:asciiTheme="minorHAnsi" w:hAnsiTheme="minorHAnsi" w:cstheme="minorHAnsi"/>
          <w:sz w:val="20"/>
          <w:szCs w:val="20"/>
          <w:lang w:val="en-US"/>
        </w:rPr>
        <w:t xml:space="preserve"> a systematic bias between the models is observed.</w:t>
      </w:r>
    </w:p>
    <w:p w14:paraId="36C54488" w14:textId="77777777" w:rsidR="00BC19B8" w:rsidRDefault="00BC19B8" w:rsidP="00F668C6">
      <w:pPr>
        <w:pStyle w:val="BodyText"/>
        <w:jc w:val="both"/>
        <w:rPr>
          <w:lang w:val="en-US"/>
        </w:rPr>
      </w:pPr>
      <w:r>
        <w:rPr>
          <w:lang w:val="en-US"/>
        </w:rPr>
        <w:t xml:space="preserve"> </w:t>
      </w:r>
    </w:p>
    <w:p w14:paraId="49D6A5E2" w14:textId="77777777" w:rsidR="0078697C" w:rsidRDefault="00BC19B8" w:rsidP="00F668C6">
      <w:pPr>
        <w:pStyle w:val="BodyText"/>
        <w:keepNext/>
        <w:jc w:val="both"/>
      </w:pPr>
      <w:r>
        <w:rPr>
          <w:noProof/>
          <w:lang w:val="en-US"/>
        </w:rPr>
        <w:lastRenderedPageBreak/>
        <w:drawing>
          <wp:inline distT="0" distB="0" distL="0" distR="0" wp14:anchorId="6B42910C" wp14:editId="6D993875">
            <wp:extent cx="5731510" cy="3347085"/>
            <wp:effectExtent l="0" t="0" r="2540" b="571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3347085"/>
                    </a:xfrm>
                    <a:prstGeom prst="rect">
                      <a:avLst/>
                    </a:prstGeom>
                    <a:noFill/>
                    <a:ln>
                      <a:noFill/>
                    </a:ln>
                  </pic:spPr>
                </pic:pic>
              </a:graphicData>
            </a:graphic>
          </wp:inline>
        </w:drawing>
      </w:r>
    </w:p>
    <w:p w14:paraId="48E2D399" w14:textId="41EB8847" w:rsidR="00BC19B8" w:rsidRPr="0078697C" w:rsidRDefault="0078697C" w:rsidP="00F668C6">
      <w:pPr>
        <w:spacing w:before="120" w:line="276" w:lineRule="auto"/>
        <w:ind w:left="2552" w:right="1134" w:hanging="1418"/>
        <w:jc w:val="both"/>
        <w:rPr>
          <w:bCs/>
          <w:color w:val="000000" w:themeColor="text1"/>
          <w:sz w:val="18"/>
          <w:szCs w:val="18"/>
        </w:rPr>
      </w:pPr>
      <w:bookmarkStart w:id="52" w:name="_Ref110337450"/>
      <w:r w:rsidRPr="0078697C">
        <w:rPr>
          <w:b/>
          <w:color w:val="007AAE"/>
          <w:sz w:val="18"/>
          <w:szCs w:val="18"/>
        </w:rPr>
        <w:t xml:space="preserve">Figure </w:t>
      </w:r>
      <w:r w:rsidRPr="0078697C">
        <w:rPr>
          <w:b/>
          <w:color w:val="007AAE"/>
          <w:sz w:val="18"/>
          <w:szCs w:val="18"/>
        </w:rPr>
        <w:fldChar w:fldCharType="begin"/>
      </w:r>
      <w:r w:rsidRPr="0078697C">
        <w:rPr>
          <w:b/>
          <w:color w:val="007AAE"/>
          <w:sz w:val="18"/>
          <w:szCs w:val="18"/>
        </w:rPr>
        <w:instrText xml:space="preserve"> SEQ Figure \* ARABIC </w:instrText>
      </w:r>
      <w:r w:rsidRPr="0078697C">
        <w:rPr>
          <w:b/>
          <w:color w:val="007AAE"/>
          <w:sz w:val="18"/>
          <w:szCs w:val="18"/>
        </w:rPr>
        <w:fldChar w:fldCharType="separate"/>
      </w:r>
      <w:r w:rsidR="00EF1E54">
        <w:rPr>
          <w:b/>
          <w:noProof/>
          <w:color w:val="007AAE"/>
          <w:sz w:val="18"/>
          <w:szCs w:val="18"/>
        </w:rPr>
        <w:t>12</w:t>
      </w:r>
      <w:r w:rsidRPr="0078697C">
        <w:rPr>
          <w:b/>
          <w:color w:val="007AAE"/>
          <w:sz w:val="18"/>
          <w:szCs w:val="18"/>
        </w:rPr>
        <w:fldChar w:fldCharType="end"/>
      </w:r>
      <w:bookmarkEnd w:id="52"/>
      <w:r w:rsidRPr="0078697C">
        <w:rPr>
          <w:b/>
          <w:color w:val="007AAE"/>
          <w:sz w:val="18"/>
          <w:szCs w:val="18"/>
        </w:rPr>
        <w:t xml:space="preserve"> </w:t>
      </w:r>
      <w:r>
        <w:rPr>
          <w:b/>
          <w:color w:val="007AAE"/>
          <w:sz w:val="18"/>
          <w:szCs w:val="18"/>
        </w:rPr>
        <w:t xml:space="preserve">- </w:t>
      </w:r>
      <w:r w:rsidRPr="0078697C">
        <w:rPr>
          <w:bCs/>
          <w:color w:val="000000" w:themeColor="text1"/>
          <w:sz w:val="18"/>
          <w:szCs w:val="18"/>
        </w:rPr>
        <w:t>Relative speed of sound error of AGA8-DC92 (using the GERG-2008 as reference density) as a function of pressure at constant temperature of 20°C for a typical natural gas blend and hydrogen</w:t>
      </w:r>
    </w:p>
    <w:p w14:paraId="71728502" w14:textId="7918AFFA" w:rsidR="00BC19B8" w:rsidRPr="0042603A" w:rsidRDefault="00BC19B8" w:rsidP="00F668C6">
      <w:pPr>
        <w:pStyle w:val="BodyText"/>
        <w:jc w:val="both"/>
        <w:rPr>
          <w:rFonts w:asciiTheme="minorHAnsi" w:hAnsiTheme="minorHAnsi" w:cstheme="minorHAnsi"/>
          <w:sz w:val="20"/>
          <w:szCs w:val="20"/>
          <w:lang w:val="en-US"/>
        </w:rPr>
      </w:pPr>
      <w:r w:rsidRPr="0042603A">
        <w:rPr>
          <w:rFonts w:asciiTheme="minorHAnsi" w:hAnsiTheme="minorHAnsi" w:cstheme="minorHAnsi"/>
          <w:sz w:val="20"/>
          <w:szCs w:val="20"/>
          <w:lang w:val="en-US"/>
        </w:rPr>
        <w:t>Experiments performed for binary methane-hydrogen mixtures</w:t>
      </w:r>
      <w:r w:rsidR="00B71F90" w:rsidRPr="0042603A">
        <w:rPr>
          <w:rFonts w:asciiTheme="minorHAnsi" w:hAnsiTheme="minorHAnsi" w:cstheme="minorHAnsi"/>
          <w:sz w:val="20"/>
          <w:szCs w:val="20"/>
          <w:lang w:val="en-US"/>
        </w:rPr>
        <w:t xml:space="preserve"> </w:t>
      </w:r>
      <w:r w:rsidR="00B71F90" w:rsidRPr="0042603A">
        <w:rPr>
          <w:rFonts w:asciiTheme="minorHAnsi" w:hAnsiTheme="minorHAnsi" w:cstheme="minorHAnsi"/>
          <w:b/>
          <w:bCs/>
          <w:color w:val="4472C4" w:themeColor="accent1"/>
          <w:sz w:val="20"/>
          <w:szCs w:val="20"/>
          <w:lang w:val="en-US"/>
        </w:rPr>
        <w:t>[30]</w:t>
      </w:r>
      <w:r w:rsidR="00B71F90" w:rsidRPr="0042603A">
        <w:rPr>
          <w:rFonts w:asciiTheme="minorHAnsi" w:hAnsiTheme="minorHAnsi" w:cstheme="minorHAnsi"/>
          <w:color w:val="4472C4" w:themeColor="accent1"/>
          <w:sz w:val="20"/>
          <w:szCs w:val="20"/>
          <w:lang w:val="en-US"/>
        </w:rPr>
        <w:t xml:space="preserve"> </w:t>
      </w:r>
      <w:r w:rsidRPr="0042603A">
        <w:rPr>
          <w:rFonts w:asciiTheme="minorHAnsi" w:hAnsiTheme="minorHAnsi" w:cstheme="minorHAnsi"/>
          <w:sz w:val="20"/>
          <w:szCs w:val="20"/>
          <w:lang w:val="en-US"/>
        </w:rPr>
        <w:t>show that the speed of sound with low concentrations of hydrogen (5</w:t>
      </w:r>
      <w:r w:rsidR="00B71F90" w:rsidRPr="0042603A">
        <w:rPr>
          <w:rFonts w:asciiTheme="minorHAnsi" w:hAnsiTheme="minorHAnsi" w:cstheme="minorHAnsi"/>
          <w:sz w:val="20"/>
          <w:szCs w:val="20"/>
          <w:lang w:val="en-US"/>
        </w:rPr>
        <w:t xml:space="preserve"> </w:t>
      </w:r>
      <w:r w:rsidRPr="0042603A">
        <w:rPr>
          <w:rFonts w:asciiTheme="minorHAnsi" w:hAnsiTheme="minorHAnsi" w:cstheme="minorHAnsi"/>
          <w:sz w:val="20"/>
          <w:szCs w:val="20"/>
          <w:lang w:val="en-US"/>
        </w:rPr>
        <w:t>% and 10</w:t>
      </w:r>
      <w:r w:rsidR="00B71F90" w:rsidRPr="0042603A">
        <w:rPr>
          <w:rFonts w:asciiTheme="minorHAnsi" w:hAnsiTheme="minorHAnsi" w:cstheme="minorHAnsi"/>
          <w:sz w:val="20"/>
          <w:szCs w:val="20"/>
          <w:lang w:val="en-US"/>
        </w:rPr>
        <w:t xml:space="preserve"> </w:t>
      </w:r>
      <w:r w:rsidRPr="0042603A">
        <w:rPr>
          <w:rFonts w:asciiTheme="minorHAnsi" w:hAnsiTheme="minorHAnsi" w:cstheme="minorHAnsi"/>
          <w:sz w:val="20"/>
          <w:szCs w:val="20"/>
          <w:lang w:val="en-US"/>
        </w:rPr>
        <w:t>%) match well with the GERG2008 values (&lt;0.05</w:t>
      </w:r>
      <w:r w:rsidR="00B71F90" w:rsidRPr="0042603A">
        <w:rPr>
          <w:rFonts w:asciiTheme="minorHAnsi" w:hAnsiTheme="minorHAnsi" w:cstheme="minorHAnsi"/>
          <w:sz w:val="20"/>
          <w:szCs w:val="20"/>
          <w:lang w:val="en-US"/>
        </w:rPr>
        <w:t xml:space="preserve"> </w:t>
      </w:r>
      <w:r w:rsidRPr="0042603A">
        <w:rPr>
          <w:rFonts w:asciiTheme="minorHAnsi" w:hAnsiTheme="minorHAnsi" w:cstheme="minorHAnsi"/>
          <w:sz w:val="20"/>
          <w:szCs w:val="20"/>
          <w:lang w:val="en-US"/>
        </w:rPr>
        <w:t>%). At 50</w:t>
      </w:r>
      <w:r w:rsidR="00E12B10" w:rsidRPr="0042603A">
        <w:rPr>
          <w:rFonts w:asciiTheme="minorHAnsi" w:hAnsiTheme="minorHAnsi" w:cstheme="minorHAnsi"/>
          <w:sz w:val="20"/>
          <w:szCs w:val="20"/>
          <w:lang w:val="en-US"/>
        </w:rPr>
        <w:t xml:space="preserve"> </w:t>
      </w:r>
      <w:r w:rsidRPr="0042603A">
        <w:rPr>
          <w:rFonts w:asciiTheme="minorHAnsi" w:hAnsiTheme="minorHAnsi" w:cstheme="minorHAnsi"/>
          <w:sz w:val="20"/>
          <w:szCs w:val="20"/>
          <w:lang w:val="en-US"/>
        </w:rPr>
        <w:t>% hydrogen concentrations, the deviations increase to approximately 0.15</w:t>
      </w:r>
      <w:r w:rsidR="002750CF" w:rsidRPr="0042603A">
        <w:rPr>
          <w:rFonts w:asciiTheme="minorHAnsi" w:hAnsiTheme="minorHAnsi" w:cstheme="minorHAnsi"/>
          <w:sz w:val="20"/>
          <w:szCs w:val="20"/>
          <w:lang w:val="en-US"/>
        </w:rPr>
        <w:t xml:space="preserve"> </w:t>
      </w:r>
      <w:r w:rsidRPr="0042603A">
        <w:rPr>
          <w:rFonts w:asciiTheme="minorHAnsi" w:hAnsiTheme="minorHAnsi" w:cstheme="minorHAnsi"/>
          <w:sz w:val="20"/>
          <w:szCs w:val="20"/>
          <w:lang w:val="en-US"/>
        </w:rPr>
        <w:t xml:space="preserve">%, especially at low pressures. In this work, the same systematic bias between the AGA8-DC92 and GERG2008 was </w:t>
      </w:r>
      <w:r w:rsidR="002750CF" w:rsidRPr="0042603A">
        <w:rPr>
          <w:rFonts w:asciiTheme="minorHAnsi" w:hAnsiTheme="minorHAnsi" w:cstheme="minorHAnsi"/>
          <w:sz w:val="20"/>
          <w:szCs w:val="20"/>
          <w:lang w:val="en-US"/>
        </w:rPr>
        <w:t xml:space="preserve">also </w:t>
      </w:r>
      <w:r w:rsidRPr="0042603A">
        <w:rPr>
          <w:rFonts w:asciiTheme="minorHAnsi" w:hAnsiTheme="minorHAnsi" w:cstheme="minorHAnsi"/>
          <w:sz w:val="20"/>
          <w:szCs w:val="20"/>
          <w:lang w:val="en-US"/>
        </w:rPr>
        <w:t>observed.</w:t>
      </w:r>
    </w:p>
    <w:p w14:paraId="51658AF9" w14:textId="2772F1A5" w:rsidR="00BC19B8" w:rsidRPr="0042603A" w:rsidRDefault="00BC19B8" w:rsidP="00F668C6">
      <w:pPr>
        <w:pStyle w:val="BodyText"/>
        <w:jc w:val="both"/>
        <w:rPr>
          <w:rFonts w:asciiTheme="minorHAnsi" w:hAnsiTheme="minorHAnsi" w:cstheme="minorHAnsi"/>
          <w:sz w:val="20"/>
          <w:szCs w:val="20"/>
          <w:lang w:val="en-US"/>
        </w:rPr>
      </w:pPr>
      <w:bookmarkStart w:id="53" w:name="_Hlk111114562"/>
      <w:r w:rsidRPr="0042603A">
        <w:rPr>
          <w:rFonts w:asciiTheme="minorHAnsi" w:hAnsiTheme="minorHAnsi" w:cstheme="minorHAnsi"/>
          <w:sz w:val="20"/>
          <w:szCs w:val="20"/>
          <w:lang w:val="en-US"/>
        </w:rPr>
        <w:t xml:space="preserve">Tests at DNV with ultrasonic meters </w:t>
      </w:r>
      <w:bookmarkEnd w:id="53"/>
      <w:r w:rsidRPr="0042603A">
        <w:rPr>
          <w:rFonts w:asciiTheme="minorHAnsi" w:hAnsiTheme="minorHAnsi" w:cstheme="minorHAnsi"/>
          <w:sz w:val="20"/>
          <w:szCs w:val="20"/>
          <w:lang w:val="en-US"/>
        </w:rPr>
        <w:t>were carried out</w:t>
      </w:r>
      <w:r w:rsidR="000F5589">
        <w:rPr>
          <w:rFonts w:asciiTheme="minorHAnsi" w:hAnsiTheme="minorHAnsi" w:cstheme="minorHAnsi"/>
          <w:sz w:val="20"/>
          <w:szCs w:val="20"/>
          <w:lang w:val="en-US"/>
        </w:rPr>
        <w:t xml:space="preserve"> in 2021</w:t>
      </w:r>
      <w:r w:rsidRPr="0042603A">
        <w:rPr>
          <w:rFonts w:asciiTheme="minorHAnsi" w:hAnsiTheme="minorHAnsi" w:cstheme="minorHAnsi"/>
          <w:sz w:val="20"/>
          <w:szCs w:val="20"/>
          <w:lang w:val="en-US"/>
        </w:rPr>
        <w:t xml:space="preserve">. During these </w:t>
      </w:r>
      <w:r w:rsidRPr="0042603A">
        <w:rPr>
          <w:rFonts w:asciiTheme="minorHAnsi" w:hAnsiTheme="minorHAnsi" w:cstheme="minorHAnsi"/>
          <w:sz w:val="20"/>
          <w:szCs w:val="20"/>
          <w:lang w:val="en-US"/>
        </w:rPr>
        <w:t>tests, the speed of sound measured by the devices were logged and compared to the theoretical values from (</w:t>
      </w:r>
      <w:proofErr w:type="spellStart"/>
      <w:proofErr w:type="gramStart"/>
      <w:r w:rsidRPr="0042603A">
        <w:rPr>
          <w:rFonts w:asciiTheme="minorHAnsi" w:hAnsiTheme="minorHAnsi" w:cstheme="minorHAnsi"/>
          <w:sz w:val="20"/>
          <w:szCs w:val="20"/>
          <w:lang w:val="en-US"/>
        </w:rPr>
        <w:t>p,T</w:t>
      </w:r>
      <w:proofErr w:type="gramEnd"/>
      <w:r w:rsidRPr="0042603A">
        <w:rPr>
          <w:rFonts w:asciiTheme="minorHAnsi" w:hAnsiTheme="minorHAnsi" w:cstheme="minorHAnsi"/>
          <w:sz w:val="20"/>
          <w:szCs w:val="20"/>
          <w:lang w:val="en-US"/>
        </w:rPr>
        <w:t>,x</w:t>
      </w:r>
      <w:proofErr w:type="spellEnd"/>
      <w:r w:rsidRPr="0042603A">
        <w:rPr>
          <w:rFonts w:asciiTheme="minorHAnsi" w:hAnsiTheme="minorHAnsi" w:cstheme="minorHAnsi"/>
          <w:sz w:val="20"/>
          <w:szCs w:val="20"/>
          <w:lang w:val="en-US"/>
        </w:rPr>
        <w:t xml:space="preserve">) and the AGA8-DC92. For one ultrasonic meter these results are presented in </w:t>
      </w:r>
      <w:r w:rsidR="00054CE5" w:rsidRPr="0042603A">
        <w:rPr>
          <w:rFonts w:asciiTheme="minorHAnsi" w:hAnsiTheme="minorHAnsi" w:cstheme="minorHAnsi"/>
          <w:sz w:val="20"/>
          <w:szCs w:val="20"/>
          <w:lang w:val="en-US"/>
        </w:rPr>
        <w:fldChar w:fldCharType="begin"/>
      </w:r>
      <w:r w:rsidR="00054CE5" w:rsidRPr="0042603A">
        <w:rPr>
          <w:rFonts w:asciiTheme="minorHAnsi" w:hAnsiTheme="minorHAnsi" w:cstheme="minorHAnsi"/>
          <w:sz w:val="20"/>
          <w:szCs w:val="20"/>
          <w:lang w:val="en-US"/>
        </w:rPr>
        <w:instrText xml:space="preserve"> REF _Ref110337504 \h </w:instrText>
      </w:r>
      <w:r w:rsidR="0042603A" w:rsidRPr="0042603A">
        <w:rPr>
          <w:rFonts w:asciiTheme="minorHAnsi" w:hAnsiTheme="minorHAnsi" w:cstheme="minorHAnsi"/>
          <w:sz w:val="20"/>
          <w:szCs w:val="20"/>
          <w:lang w:val="en-US"/>
        </w:rPr>
        <w:instrText xml:space="preserve"> \* MERGEFORMAT </w:instrText>
      </w:r>
      <w:r w:rsidR="00054CE5" w:rsidRPr="0042603A">
        <w:rPr>
          <w:rFonts w:asciiTheme="minorHAnsi" w:hAnsiTheme="minorHAnsi" w:cstheme="minorHAnsi"/>
          <w:sz w:val="20"/>
          <w:szCs w:val="20"/>
          <w:lang w:val="en-US"/>
        </w:rPr>
      </w:r>
      <w:r w:rsidR="00054CE5" w:rsidRPr="0042603A">
        <w:rPr>
          <w:rFonts w:asciiTheme="minorHAnsi" w:hAnsiTheme="minorHAnsi" w:cstheme="minorHAnsi"/>
          <w:sz w:val="20"/>
          <w:szCs w:val="20"/>
          <w:lang w:val="en-US"/>
        </w:rPr>
        <w:fldChar w:fldCharType="separate"/>
      </w:r>
      <w:r w:rsidR="00054CE5" w:rsidRPr="0042603A">
        <w:rPr>
          <w:rFonts w:asciiTheme="minorHAnsi" w:hAnsiTheme="minorHAnsi" w:cstheme="minorHAnsi"/>
          <w:b/>
          <w:color w:val="007AAE"/>
          <w:sz w:val="20"/>
          <w:szCs w:val="20"/>
        </w:rPr>
        <w:t>Figure 13</w:t>
      </w:r>
      <w:r w:rsidR="00054CE5" w:rsidRPr="0042603A">
        <w:rPr>
          <w:rFonts w:asciiTheme="minorHAnsi" w:hAnsiTheme="minorHAnsi" w:cstheme="minorHAnsi"/>
          <w:sz w:val="20"/>
          <w:szCs w:val="20"/>
          <w:lang w:val="en-US"/>
        </w:rPr>
        <w:fldChar w:fldCharType="end"/>
      </w:r>
      <w:r w:rsidR="00054CE5" w:rsidRPr="0042603A">
        <w:rPr>
          <w:rFonts w:asciiTheme="minorHAnsi" w:hAnsiTheme="minorHAnsi" w:cstheme="minorHAnsi"/>
          <w:sz w:val="20"/>
          <w:szCs w:val="20"/>
          <w:lang w:val="en-US"/>
        </w:rPr>
        <w:t xml:space="preserve">. </w:t>
      </w:r>
      <w:r w:rsidRPr="0042603A">
        <w:rPr>
          <w:rFonts w:asciiTheme="minorHAnsi" w:hAnsiTheme="minorHAnsi" w:cstheme="minorHAnsi"/>
          <w:sz w:val="20"/>
          <w:szCs w:val="20"/>
          <w:lang w:val="en-US"/>
        </w:rPr>
        <w:t>These measurements are not as accurate as the methods used in</w:t>
      </w:r>
      <w:r w:rsidR="00DB3124" w:rsidRPr="0042603A">
        <w:rPr>
          <w:rFonts w:asciiTheme="minorHAnsi" w:hAnsiTheme="minorHAnsi" w:cstheme="minorHAnsi"/>
          <w:sz w:val="20"/>
          <w:szCs w:val="20"/>
          <w:lang w:val="en-US"/>
        </w:rPr>
        <w:t xml:space="preserve"> </w:t>
      </w:r>
      <w:r w:rsidR="00DB3124" w:rsidRPr="0042603A">
        <w:rPr>
          <w:rFonts w:asciiTheme="minorHAnsi" w:hAnsiTheme="minorHAnsi" w:cstheme="minorHAnsi"/>
          <w:b/>
          <w:bCs/>
          <w:color w:val="4472C4" w:themeColor="accent1"/>
          <w:sz w:val="20"/>
          <w:szCs w:val="20"/>
          <w:lang w:val="en-US"/>
        </w:rPr>
        <w:t>[26]</w:t>
      </w:r>
      <w:r w:rsidR="00DB3124" w:rsidRPr="0042603A">
        <w:rPr>
          <w:rFonts w:asciiTheme="minorHAnsi" w:hAnsiTheme="minorHAnsi" w:cstheme="minorHAnsi"/>
          <w:sz w:val="20"/>
          <w:szCs w:val="20"/>
          <w:lang w:val="en-US"/>
        </w:rPr>
        <w:t xml:space="preserve">, </w:t>
      </w:r>
      <w:r w:rsidR="00DB3124" w:rsidRPr="0042603A">
        <w:rPr>
          <w:rFonts w:asciiTheme="minorHAnsi" w:hAnsiTheme="minorHAnsi" w:cstheme="minorHAnsi"/>
          <w:b/>
          <w:bCs/>
          <w:color w:val="4472C4" w:themeColor="accent1"/>
          <w:sz w:val="20"/>
          <w:szCs w:val="20"/>
          <w:lang w:val="en-US"/>
        </w:rPr>
        <w:t>[30]</w:t>
      </w:r>
      <w:r w:rsidR="00DB3124" w:rsidRPr="0042603A">
        <w:rPr>
          <w:rFonts w:asciiTheme="minorHAnsi" w:hAnsiTheme="minorHAnsi" w:cstheme="minorHAnsi"/>
          <w:color w:val="4472C4" w:themeColor="accent1"/>
          <w:sz w:val="20"/>
          <w:szCs w:val="20"/>
          <w:lang w:val="en-US"/>
        </w:rPr>
        <w:t xml:space="preserve"> </w:t>
      </w:r>
      <w:r w:rsidR="00DB3124" w:rsidRPr="0042603A">
        <w:rPr>
          <w:rFonts w:asciiTheme="minorHAnsi" w:hAnsiTheme="minorHAnsi" w:cstheme="minorHAnsi"/>
          <w:sz w:val="20"/>
          <w:szCs w:val="20"/>
          <w:lang w:val="en-US"/>
        </w:rPr>
        <w:t xml:space="preserve">and </w:t>
      </w:r>
      <w:r w:rsidR="00DB3124" w:rsidRPr="0042603A">
        <w:rPr>
          <w:rFonts w:asciiTheme="minorHAnsi" w:hAnsiTheme="minorHAnsi" w:cstheme="minorHAnsi"/>
          <w:b/>
          <w:bCs/>
          <w:color w:val="4472C4" w:themeColor="accent1"/>
          <w:sz w:val="20"/>
          <w:szCs w:val="20"/>
          <w:lang w:val="en-US"/>
        </w:rPr>
        <w:t>[33]</w:t>
      </w:r>
      <w:r w:rsidRPr="0042603A">
        <w:rPr>
          <w:rFonts w:asciiTheme="minorHAnsi" w:hAnsiTheme="minorHAnsi" w:cstheme="minorHAnsi"/>
          <w:sz w:val="20"/>
          <w:szCs w:val="20"/>
          <w:lang w:val="en-US"/>
        </w:rPr>
        <w:t xml:space="preserve">, however provide a good insight in the dependence of the speed of sound for these mixtures compared to mixtures where the AGA-DC92 has a good performance. Also, the results provide an indication on how accurate the speed of sound can be obtained under flowing condition with variations in pressure and temperature. Typically, the </w:t>
      </w:r>
      <w:bookmarkStart w:id="54" w:name="_Hlk111114595"/>
      <w:r w:rsidRPr="0042603A">
        <w:rPr>
          <w:rFonts w:asciiTheme="minorHAnsi" w:hAnsiTheme="minorHAnsi" w:cstheme="minorHAnsi"/>
          <w:sz w:val="20"/>
          <w:szCs w:val="20"/>
          <w:lang w:val="en-US"/>
        </w:rPr>
        <w:t>values are within 0.1</w:t>
      </w:r>
      <w:r w:rsidR="008D7596" w:rsidRPr="0042603A">
        <w:rPr>
          <w:rFonts w:asciiTheme="minorHAnsi" w:hAnsiTheme="minorHAnsi" w:cstheme="minorHAnsi"/>
          <w:sz w:val="20"/>
          <w:szCs w:val="20"/>
          <w:lang w:val="en-US"/>
        </w:rPr>
        <w:t xml:space="preserve"> </w:t>
      </w:r>
      <w:r w:rsidRPr="0042603A">
        <w:rPr>
          <w:rFonts w:asciiTheme="minorHAnsi" w:hAnsiTheme="minorHAnsi" w:cstheme="minorHAnsi"/>
          <w:sz w:val="20"/>
          <w:szCs w:val="20"/>
          <w:lang w:val="en-US"/>
        </w:rPr>
        <w:t xml:space="preserve">%, </w:t>
      </w:r>
      <w:r w:rsidR="008D7596" w:rsidRPr="0042603A">
        <w:rPr>
          <w:rFonts w:asciiTheme="minorHAnsi" w:hAnsiTheme="minorHAnsi" w:cstheme="minorHAnsi"/>
          <w:sz w:val="20"/>
          <w:szCs w:val="20"/>
          <w:lang w:val="en-US"/>
        </w:rPr>
        <w:t xml:space="preserve">and </w:t>
      </w:r>
      <w:r w:rsidRPr="0042603A">
        <w:rPr>
          <w:rFonts w:asciiTheme="minorHAnsi" w:hAnsiTheme="minorHAnsi" w:cstheme="minorHAnsi"/>
          <w:sz w:val="20"/>
          <w:szCs w:val="20"/>
          <w:lang w:val="en-US"/>
        </w:rPr>
        <w:t>the</w:t>
      </w:r>
      <w:r w:rsidR="008D7596" w:rsidRPr="0042603A">
        <w:rPr>
          <w:rFonts w:asciiTheme="minorHAnsi" w:hAnsiTheme="minorHAnsi" w:cstheme="minorHAnsi"/>
          <w:sz w:val="20"/>
          <w:szCs w:val="20"/>
          <w:lang w:val="en-US"/>
        </w:rPr>
        <w:t>re is a</w:t>
      </w:r>
      <w:r w:rsidRPr="0042603A">
        <w:rPr>
          <w:rFonts w:asciiTheme="minorHAnsi" w:hAnsiTheme="minorHAnsi" w:cstheme="minorHAnsi"/>
          <w:sz w:val="20"/>
          <w:szCs w:val="20"/>
          <w:lang w:val="en-US"/>
        </w:rPr>
        <w:t xml:space="preserve"> systematic offset </w:t>
      </w:r>
      <w:r w:rsidR="008D7596" w:rsidRPr="0042603A">
        <w:rPr>
          <w:rFonts w:asciiTheme="minorHAnsi" w:hAnsiTheme="minorHAnsi" w:cstheme="minorHAnsi"/>
          <w:sz w:val="20"/>
          <w:szCs w:val="20"/>
          <w:lang w:val="en-US"/>
        </w:rPr>
        <w:t xml:space="preserve">of </w:t>
      </w:r>
      <w:r w:rsidRPr="0042603A">
        <w:rPr>
          <w:rFonts w:asciiTheme="minorHAnsi" w:hAnsiTheme="minorHAnsi" w:cstheme="minorHAnsi"/>
          <w:sz w:val="20"/>
          <w:szCs w:val="20"/>
          <w:lang w:val="en-US"/>
        </w:rPr>
        <w:t xml:space="preserve">approximately </w:t>
      </w:r>
      <w:r w:rsidR="008D7596" w:rsidRPr="0042603A">
        <w:rPr>
          <w:rFonts w:asciiTheme="minorHAnsi" w:hAnsiTheme="minorHAnsi" w:cstheme="minorHAnsi"/>
          <w:sz w:val="20"/>
          <w:szCs w:val="20"/>
          <w:lang w:val="en-US"/>
        </w:rPr>
        <w:t>similar magnitude</w:t>
      </w:r>
      <w:r w:rsidRPr="0042603A">
        <w:rPr>
          <w:rFonts w:asciiTheme="minorHAnsi" w:hAnsiTheme="minorHAnsi" w:cstheme="minorHAnsi"/>
          <w:sz w:val="20"/>
          <w:szCs w:val="20"/>
          <w:lang w:val="en-US"/>
        </w:rPr>
        <w:t xml:space="preserve"> for all </w:t>
      </w:r>
      <w:r w:rsidR="008D7596" w:rsidRPr="0042603A">
        <w:rPr>
          <w:rFonts w:asciiTheme="minorHAnsi" w:hAnsiTheme="minorHAnsi" w:cstheme="minorHAnsi"/>
          <w:sz w:val="20"/>
          <w:szCs w:val="20"/>
          <w:lang w:val="en-US"/>
        </w:rPr>
        <w:t xml:space="preserve">tested </w:t>
      </w:r>
      <w:r w:rsidRPr="0042603A">
        <w:rPr>
          <w:rFonts w:asciiTheme="minorHAnsi" w:hAnsiTheme="minorHAnsi" w:cstheme="minorHAnsi"/>
          <w:sz w:val="20"/>
          <w:szCs w:val="20"/>
          <w:lang w:val="en-US"/>
        </w:rPr>
        <w:t>gases</w:t>
      </w:r>
      <w:bookmarkEnd w:id="54"/>
      <w:r w:rsidRPr="0042603A">
        <w:rPr>
          <w:rFonts w:asciiTheme="minorHAnsi" w:hAnsiTheme="minorHAnsi" w:cstheme="minorHAnsi"/>
          <w:sz w:val="20"/>
          <w:szCs w:val="20"/>
          <w:lang w:val="en-US"/>
        </w:rPr>
        <w:t>.</w:t>
      </w:r>
    </w:p>
    <w:p w14:paraId="4A577766" w14:textId="77777777" w:rsidR="00F668C6" w:rsidRDefault="00BC19B8" w:rsidP="00F668C6">
      <w:pPr>
        <w:pStyle w:val="BodyText"/>
        <w:keepNext/>
        <w:jc w:val="both"/>
      </w:pPr>
      <w:r>
        <w:rPr>
          <w:noProof/>
          <w:lang w:val="en-US"/>
        </w:rPr>
        <w:lastRenderedPageBreak/>
        <w:drawing>
          <wp:inline distT="0" distB="0" distL="0" distR="0" wp14:anchorId="73C37CA2" wp14:editId="4008C968">
            <wp:extent cx="5731510" cy="3343275"/>
            <wp:effectExtent l="0" t="0" r="2540"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3343275"/>
                    </a:xfrm>
                    <a:prstGeom prst="rect">
                      <a:avLst/>
                    </a:prstGeom>
                    <a:noFill/>
                    <a:ln>
                      <a:noFill/>
                    </a:ln>
                  </pic:spPr>
                </pic:pic>
              </a:graphicData>
            </a:graphic>
          </wp:inline>
        </w:drawing>
      </w:r>
    </w:p>
    <w:p w14:paraId="3DD6D1BB" w14:textId="56C38D7A" w:rsidR="00BC19B8" w:rsidRDefault="00F668C6" w:rsidP="00F668C6">
      <w:pPr>
        <w:spacing w:before="120" w:line="276" w:lineRule="auto"/>
        <w:ind w:left="2552" w:right="1134" w:hanging="1418"/>
        <w:jc w:val="both"/>
        <w:rPr>
          <w:bCs/>
          <w:color w:val="000000" w:themeColor="text1"/>
          <w:sz w:val="18"/>
          <w:szCs w:val="18"/>
        </w:rPr>
      </w:pPr>
      <w:bookmarkStart w:id="55" w:name="_Ref110337504"/>
      <w:r w:rsidRPr="00F668C6">
        <w:rPr>
          <w:b/>
          <w:color w:val="007AAE"/>
          <w:sz w:val="18"/>
          <w:szCs w:val="18"/>
        </w:rPr>
        <w:t xml:space="preserve">Figure </w:t>
      </w:r>
      <w:r w:rsidRPr="00F668C6">
        <w:rPr>
          <w:b/>
          <w:color w:val="007AAE"/>
          <w:sz w:val="18"/>
          <w:szCs w:val="18"/>
        </w:rPr>
        <w:fldChar w:fldCharType="begin"/>
      </w:r>
      <w:r w:rsidRPr="00F668C6">
        <w:rPr>
          <w:b/>
          <w:color w:val="007AAE"/>
          <w:sz w:val="18"/>
          <w:szCs w:val="18"/>
        </w:rPr>
        <w:instrText xml:space="preserve"> SEQ Figure \* ARABIC </w:instrText>
      </w:r>
      <w:r w:rsidRPr="00F668C6">
        <w:rPr>
          <w:b/>
          <w:color w:val="007AAE"/>
          <w:sz w:val="18"/>
          <w:szCs w:val="18"/>
        </w:rPr>
        <w:fldChar w:fldCharType="separate"/>
      </w:r>
      <w:r w:rsidR="00EF1E54">
        <w:rPr>
          <w:b/>
          <w:noProof/>
          <w:color w:val="007AAE"/>
          <w:sz w:val="18"/>
          <w:szCs w:val="18"/>
        </w:rPr>
        <w:t>13</w:t>
      </w:r>
      <w:r w:rsidRPr="00F668C6">
        <w:rPr>
          <w:b/>
          <w:color w:val="007AAE"/>
          <w:sz w:val="18"/>
          <w:szCs w:val="18"/>
        </w:rPr>
        <w:fldChar w:fldCharType="end"/>
      </w:r>
      <w:bookmarkEnd w:id="55"/>
      <w:r w:rsidRPr="00F668C6">
        <w:rPr>
          <w:b/>
          <w:color w:val="007AAE"/>
          <w:sz w:val="18"/>
          <w:szCs w:val="18"/>
        </w:rPr>
        <w:t xml:space="preserve"> - </w:t>
      </w:r>
      <w:r w:rsidRPr="00F668C6">
        <w:rPr>
          <w:bCs/>
          <w:color w:val="000000" w:themeColor="text1"/>
          <w:sz w:val="18"/>
          <w:szCs w:val="18"/>
        </w:rPr>
        <w:t>Speed of sound measurement error of an ultrasonic meter using the AGA8-DC92 as reference as a function of speed of sound for a typical natural gas blend and hydrogen</w:t>
      </w:r>
    </w:p>
    <w:p w14:paraId="06E03B3B" w14:textId="77777777" w:rsidR="00F668C6" w:rsidRPr="00F668C6" w:rsidRDefault="00F668C6" w:rsidP="00F668C6">
      <w:pPr>
        <w:spacing w:before="120" w:line="276" w:lineRule="auto"/>
        <w:ind w:left="2552" w:right="1134" w:hanging="1418"/>
        <w:jc w:val="both"/>
        <w:rPr>
          <w:bCs/>
          <w:color w:val="000000" w:themeColor="text1"/>
          <w:sz w:val="18"/>
          <w:szCs w:val="18"/>
        </w:rPr>
      </w:pPr>
    </w:p>
    <w:p w14:paraId="3718FDF7" w14:textId="68FE88B2" w:rsidR="00BC19B8" w:rsidRDefault="00BC19B8" w:rsidP="00F668C6">
      <w:pPr>
        <w:pStyle w:val="Heading3"/>
        <w:jc w:val="both"/>
        <w:rPr>
          <w:rFonts w:eastAsiaTheme="minorEastAsia"/>
          <w:lang w:val="en-US"/>
        </w:rPr>
      </w:pPr>
      <w:bookmarkStart w:id="56" w:name="_Toc121830948"/>
      <w:r>
        <w:t xml:space="preserve">5.1.3 </w:t>
      </w:r>
      <w:r>
        <w:rPr>
          <w:rFonts w:eastAsiaTheme="minorEastAsia"/>
          <w:lang w:val="en-US"/>
        </w:rPr>
        <w:t>V</w:t>
      </w:r>
      <w:r w:rsidR="001E0DD6">
        <w:rPr>
          <w:rFonts w:eastAsiaTheme="minorEastAsia"/>
          <w:lang w:val="en-US"/>
        </w:rPr>
        <w:t>ISCOSITY</w:t>
      </w:r>
      <w:bookmarkEnd w:id="56"/>
    </w:p>
    <w:p w14:paraId="61A9B321" w14:textId="04BD24B9" w:rsidR="00BC19B8" w:rsidRPr="0042603A" w:rsidRDefault="00BC19B8" w:rsidP="00F668C6">
      <w:pPr>
        <w:pStyle w:val="BodyText"/>
        <w:jc w:val="both"/>
        <w:rPr>
          <w:rFonts w:asciiTheme="minorHAnsi" w:hAnsiTheme="minorHAnsi" w:cstheme="minorHAnsi"/>
          <w:sz w:val="20"/>
          <w:szCs w:val="20"/>
          <w:lang w:val="en-US"/>
        </w:rPr>
      </w:pPr>
      <w:r w:rsidRPr="0042603A">
        <w:rPr>
          <w:rFonts w:asciiTheme="minorHAnsi" w:hAnsiTheme="minorHAnsi" w:cstheme="minorHAnsi"/>
          <w:sz w:val="20"/>
          <w:szCs w:val="20"/>
          <w:lang w:val="en-US"/>
        </w:rPr>
        <w:t xml:space="preserve">Contrary to the physical properties in the preceding sections, the viscosity is not used as a direct input in the comparison between meter under test and reference </w:t>
      </w:r>
      <w:r w:rsidR="0066719A" w:rsidRPr="0042603A">
        <w:rPr>
          <w:rFonts w:asciiTheme="minorHAnsi" w:hAnsiTheme="minorHAnsi" w:cstheme="minorHAnsi"/>
          <w:sz w:val="20"/>
          <w:szCs w:val="20"/>
          <w:lang w:val="en-US"/>
        </w:rPr>
        <w:t xml:space="preserve">test facility </w:t>
      </w:r>
      <w:r w:rsidRPr="0042603A">
        <w:rPr>
          <w:rFonts w:asciiTheme="minorHAnsi" w:hAnsiTheme="minorHAnsi" w:cstheme="minorHAnsi"/>
          <w:sz w:val="20"/>
          <w:szCs w:val="20"/>
          <w:lang w:val="en-US"/>
        </w:rPr>
        <w:t xml:space="preserve">system. The viscosity is required as an input for the Reynolds number, which may be used in calibration curves of both the meter under test and the reference </w:t>
      </w:r>
      <w:r w:rsidR="0066719A" w:rsidRPr="0042603A">
        <w:rPr>
          <w:rFonts w:asciiTheme="minorHAnsi" w:hAnsiTheme="minorHAnsi" w:cstheme="minorHAnsi"/>
          <w:sz w:val="20"/>
          <w:szCs w:val="20"/>
          <w:lang w:val="en-US"/>
        </w:rPr>
        <w:t xml:space="preserve">test facility </w:t>
      </w:r>
      <w:r w:rsidRPr="0042603A">
        <w:rPr>
          <w:rFonts w:asciiTheme="minorHAnsi" w:hAnsiTheme="minorHAnsi" w:cstheme="minorHAnsi"/>
          <w:sz w:val="20"/>
          <w:szCs w:val="20"/>
          <w:lang w:val="en-US"/>
        </w:rPr>
        <w:t xml:space="preserve">system. The sensitivity of these calibration curve to the value of the Reynolds number is typically low, and therefore </w:t>
      </w:r>
      <w:r w:rsidR="00FE2CF8" w:rsidRPr="0042603A">
        <w:rPr>
          <w:rFonts w:asciiTheme="minorHAnsi" w:hAnsiTheme="minorHAnsi" w:cstheme="minorHAnsi"/>
          <w:sz w:val="20"/>
          <w:szCs w:val="20"/>
          <w:lang w:val="en-US"/>
        </w:rPr>
        <w:t>a higher</w:t>
      </w:r>
      <w:r w:rsidRPr="0042603A">
        <w:rPr>
          <w:rFonts w:asciiTheme="minorHAnsi" w:hAnsiTheme="minorHAnsi" w:cstheme="minorHAnsi"/>
          <w:sz w:val="20"/>
          <w:szCs w:val="20"/>
          <w:lang w:val="en-US"/>
        </w:rPr>
        <w:t xml:space="preserve"> uncertainty may be allowed in the value of the viscosity.</w:t>
      </w:r>
    </w:p>
    <w:p w14:paraId="4649D526" w14:textId="0C805842" w:rsidR="00BC19B8" w:rsidRPr="0042603A" w:rsidRDefault="00BC19B8" w:rsidP="00F668C6">
      <w:pPr>
        <w:pStyle w:val="BodyText"/>
        <w:jc w:val="both"/>
        <w:rPr>
          <w:rFonts w:asciiTheme="minorHAnsi" w:hAnsiTheme="minorHAnsi" w:cstheme="minorHAnsi"/>
          <w:sz w:val="20"/>
          <w:szCs w:val="20"/>
          <w:lang w:val="en-US"/>
        </w:rPr>
      </w:pPr>
      <w:r w:rsidRPr="0042603A">
        <w:rPr>
          <w:rFonts w:asciiTheme="minorHAnsi" w:hAnsiTheme="minorHAnsi" w:cstheme="minorHAnsi"/>
          <w:sz w:val="20"/>
          <w:szCs w:val="20"/>
          <w:lang w:val="en-US"/>
        </w:rPr>
        <w:t xml:space="preserve">The viscosity </w:t>
      </w:r>
      <w:r w:rsidR="00E90059" w:rsidRPr="0042603A">
        <w:rPr>
          <w:rFonts w:asciiTheme="minorHAnsi" w:hAnsiTheme="minorHAnsi" w:cstheme="minorHAnsi"/>
          <w:sz w:val="20"/>
          <w:szCs w:val="20"/>
          <w:lang w:val="en-US"/>
        </w:rPr>
        <w:t xml:space="preserve">of a high-pressure mixture </w:t>
      </w:r>
      <w:r w:rsidRPr="0042603A">
        <w:rPr>
          <w:rFonts w:asciiTheme="minorHAnsi" w:hAnsiTheme="minorHAnsi" w:cstheme="minorHAnsi"/>
          <w:sz w:val="20"/>
          <w:szCs w:val="20"/>
          <w:lang w:val="en-US"/>
        </w:rPr>
        <w:t>is typically calculated by using a dilute gas (low-pressure) theoretical model with appropriate mixing rules for the multicomponent gas mixture and extend this value to high pressure by using a corresponding states model in terms of reduced density and reduced temperature</w:t>
      </w:r>
      <w:r w:rsidR="00B02CA4" w:rsidRPr="0042603A">
        <w:rPr>
          <w:rFonts w:asciiTheme="minorHAnsi" w:hAnsiTheme="minorHAnsi" w:cstheme="minorHAnsi"/>
          <w:sz w:val="20"/>
          <w:szCs w:val="20"/>
          <w:lang w:val="en-US"/>
        </w:rPr>
        <w:t xml:space="preserve"> </w:t>
      </w:r>
      <w:r w:rsidR="00B02CA4" w:rsidRPr="0042603A">
        <w:rPr>
          <w:rFonts w:asciiTheme="minorHAnsi" w:hAnsiTheme="minorHAnsi" w:cstheme="minorHAnsi"/>
          <w:b/>
          <w:bCs/>
          <w:color w:val="4472C4" w:themeColor="accent1"/>
          <w:sz w:val="20"/>
          <w:szCs w:val="20"/>
          <w:lang w:val="en-US"/>
        </w:rPr>
        <w:t>[32]</w:t>
      </w:r>
      <w:r w:rsidRPr="0042603A">
        <w:rPr>
          <w:rFonts w:asciiTheme="minorHAnsi" w:hAnsiTheme="minorHAnsi" w:cstheme="minorHAnsi"/>
          <w:sz w:val="20"/>
          <w:szCs w:val="20"/>
          <w:lang w:val="en-US"/>
        </w:rPr>
        <w:t>. Multiple methods exist; however, the basic principle remains the same. The method implemented in REFPROP is the so-called TRAPP (</w:t>
      </w:r>
      <w:proofErr w:type="spellStart"/>
      <w:r w:rsidRPr="0042603A">
        <w:rPr>
          <w:rFonts w:asciiTheme="minorHAnsi" w:hAnsiTheme="minorHAnsi" w:cstheme="minorHAnsi"/>
          <w:sz w:val="20"/>
          <w:szCs w:val="20"/>
          <w:lang w:val="en-US"/>
        </w:rPr>
        <w:t>TRAnsport</w:t>
      </w:r>
      <w:proofErr w:type="spellEnd"/>
      <w:r w:rsidRPr="0042603A">
        <w:rPr>
          <w:rFonts w:asciiTheme="minorHAnsi" w:hAnsiTheme="minorHAnsi" w:cstheme="minorHAnsi"/>
          <w:sz w:val="20"/>
          <w:szCs w:val="20"/>
          <w:lang w:val="en-US"/>
        </w:rPr>
        <w:t xml:space="preserve"> Property Prediction) method developed by Huber, see</w:t>
      </w:r>
      <w:r w:rsidR="00B02CA4" w:rsidRPr="0042603A">
        <w:rPr>
          <w:rFonts w:asciiTheme="minorHAnsi" w:hAnsiTheme="minorHAnsi" w:cstheme="minorHAnsi"/>
          <w:sz w:val="20"/>
          <w:szCs w:val="20"/>
          <w:lang w:val="en-US"/>
        </w:rPr>
        <w:t xml:space="preserve"> </w:t>
      </w:r>
      <w:r w:rsidR="00B02CA4" w:rsidRPr="0042603A">
        <w:rPr>
          <w:rFonts w:asciiTheme="minorHAnsi" w:hAnsiTheme="minorHAnsi" w:cstheme="minorHAnsi"/>
          <w:b/>
          <w:bCs/>
          <w:color w:val="4472C4" w:themeColor="accent1"/>
          <w:sz w:val="20"/>
          <w:szCs w:val="20"/>
          <w:lang w:val="en-US"/>
        </w:rPr>
        <w:t>[21]</w:t>
      </w:r>
      <w:r w:rsidRPr="0042603A">
        <w:rPr>
          <w:rFonts w:asciiTheme="minorHAnsi" w:hAnsiTheme="minorHAnsi" w:cstheme="minorHAnsi"/>
          <w:sz w:val="20"/>
          <w:szCs w:val="20"/>
          <w:lang w:val="en-US"/>
        </w:rPr>
        <w:t>, which is based on the Ely and Hanley model</w:t>
      </w:r>
      <w:r w:rsidR="00B02CA4" w:rsidRPr="0042603A">
        <w:rPr>
          <w:rFonts w:asciiTheme="minorHAnsi" w:hAnsiTheme="minorHAnsi" w:cstheme="minorHAnsi"/>
          <w:sz w:val="20"/>
          <w:szCs w:val="20"/>
          <w:lang w:val="en-US"/>
        </w:rPr>
        <w:t xml:space="preserve"> </w:t>
      </w:r>
      <w:r w:rsidR="00B02CA4" w:rsidRPr="0042603A">
        <w:rPr>
          <w:rFonts w:asciiTheme="minorHAnsi" w:hAnsiTheme="minorHAnsi" w:cstheme="minorHAnsi"/>
          <w:b/>
          <w:bCs/>
          <w:color w:val="4472C4" w:themeColor="accent1"/>
          <w:sz w:val="20"/>
          <w:szCs w:val="20"/>
          <w:lang w:val="en-US"/>
        </w:rPr>
        <w:t>[24]</w:t>
      </w:r>
      <w:r w:rsidRPr="0042603A">
        <w:rPr>
          <w:rFonts w:asciiTheme="minorHAnsi" w:hAnsiTheme="minorHAnsi" w:cstheme="minorHAnsi"/>
          <w:sz w:val="20"/>
          <w:szCs w:val="20"/>
          <w:lang w:val="en-US"/>
        </w:rPr>
        <w:t xml:space="preserve">. Experimental validation data is scarce, and an initial validation of the TRAPP model was performed in </w:t>
      </w:r>
      <w:r w:rsidR="00B02CA4" w:rsidRPr="0042603A">
        <w:rPr>
          <w:rFonts w:asciiTheme="minorHAnsi" w:hAnsiTheme="minorHAnsi" w:cstheme="minorHAnsi"/>
          <w:b/>
          <w:bCs/>
          <w:color w:val="4472C4" w:themeColor="accent1"/>
          <w:sz w:val="20"/>
          <w:szCs w:val="20"/>
          <w:lang w:val="en-US"/>
        </w:rPr>
        <w:t>[21]</w:t>
      </w:r>
      <w:r w:rsidRPr="0042603A">
        <w:rPr>
          <w:rFonts w:asciiTheme="minorHAnsi" w:hAnsiTheme="minorHAnsi" w:cstheme="minorHAnsi"/>
          <w:color w:val="4472C4" w:themeColor="accent1"/>
          <w:sz w:val="20"/>
          <w:szCs w:val="20"/>
          <w:lang w:val="en-US"/>
        </w:rPr>
        <w:t xml:space="preserve"> </w:t>
      </w:r>
      <w:r w:rsidRPr="0042603A">
        <w:rPr>
          <w:rFonts w:asciiTheme="minorHAnsi" w:hAnsiTheme="minorHAnsi" w:cstheme="minorHAnsi"/>
          <w:sz w:val="20"/>
          <w:szCs w:val="20"/>
          <w:lang w:val="en-US"/>
        </w:rPr>
        <w:t>for methane/hydrogen mixtures at atmospheric pressure and a wide range of temperatures, leading to a bias of about -0.3</w:t>
      </w:r>
      <w:r w:rsidR="006972E8" w:rsidRPr="0042603A">
        <w:rPr>
          <w:rFonts w:asciiTheme="minorHAnsi" w:hAnsiTheme="minorHAnsi" w:cstheme="minorHAnsi"/>
          <w:sz w:val="20"/>
          <w:szCs w:val="20"/>
          <w:lang w:val="en-US"/>
        </w:rPr>
        <w:t xml:space="preserve"> </w:t>
      </w:r>
      <w:r w:rsidRPr="0042603A">
        <w:rPr>
          <w:rFonts w:asciiTheme="minorHAnsi" w:hAnsiTheme="minorHAnsi" w:cstheme="minorHAnsi"/>
          <w:sz w:val="20"/>
          <w:szCs w:val="20"/>
          <w:lang w:val="en-US"/>
        </w:rPr>
        <w:t>% and R</w:t>
      </w:r>
      <w:r w:rsidR="006972E8" w:rsidRPr="0042603A">
        <w:rPr>
          <w:rFonts w:asciiTheme="minorHAnsi" w:hAnsiTheme="minorHAnsi" w:cstheme="minorHAnsi"/>
          <w:sz w:val="20"/>
          <w:szCs w:val="20"/>
          <w:lang w:val="en-US"/>
        </w:rPr>
        <w:t xml:space="preserve">oot </w:t>
      </w:r>
      <w:r w:rsidRPr="0042603A">
        <w:rPr>
          <w:rFonts w:asciiTheme="minorHAnsi" w:hAnsiTheme="minorHAnsi" w:cstheme="minorHAnsi"/>
          <w:sz w:val="20"/>
          <w:szCs w:val="20"/>
          <w:lang w:val="en-US"/>
        </w:rPr>
        <w:t>M</w:t>
      </w:r>
      <w:r w:rsidR="006972E8" w:rsidRPr="0042603A">
        <w:rPr>
          <w:rFonts w:asciiTheme="minorHAnsi" w:hAnsiTheme="minorHAnsi" w:cstheme="minorHAnsi"/>
          <w:sz w:val="20"/>
          <w:szCs w:val="20"/>
          <w:lang w:val="en-US"/>
        </w:rPr>
        <w:t xml:space="preserve">ean </w:t>
      </w:r>
      <w:r w:rsidRPr="0042603A">
        <w:rPr>
          <w:rFonts w:asciiTheme="minorHAnsi" w:hAnsiTheme="minorHAnsi" w:cstheme="minorHAnsi"/>
          <w:sz w:val="20"/>
          <w:szCs w:val="20"/>
          <w:lang w:val="en-US"/>
        </w:rPr>
        <w:t>S</w:t>
      </w:r>
      <w:r w:rsidR="006972E8" w:rsidRPr="0042603A">
        <w:rPr>
          <w:rFonts w:asciiTheme="minorHAnsi" w:hAnsiTheme="minorHAnsi" w:cstheme="minorHAnsi"/>
          <w:sz w:val="20"/>
          <w:szCs w:val="20"/>
          <w:lang w:val="en-US"/>
        </w:rPr>
        <w:t>quare (RMS)</w:t>
      </w:r>
      <w:r w:rsidRPr="0042603A">
        <w:rPr>
          <w:rFonts w:asciiTheme="minorHAnsi" w:hAnsiTheme="minorHAnsi" w:cstheme="minorHAnsi"/>
          <w:sz w:val="20"/>
          <w:szCs w:val="20"/>
          <w:lang w:val="en-US"/>
        </w:rPr>
        <w:t xml:space="preserve"> values within 1.5</w:t>
      </w:r>
      <w:r w:rsidR="00EF602D" w:rsidRPr="0042603A">
        <w:rPr>
          <w:rFonts w:asciiTheme="minorHAnsi" w:hAnsiTheme="minorHAnsi" w:cstheme="minorHAnsi"/>
          <w:sz w:val="20"/>
          <w:szCs w:val="20"/>
          <w:lang w:val="en-US"/>
        </w:rPr>
        <w:t xml:space="preserve"> </w:t>
      </w:r>
      <w:r w:rsidRPr="0042603A">
        <w:rPr>
          <w:rFonts w:asciiTheme="minorHAnsi" w:hAnsiTheme="minorHAnsi" w:cstheme="minorHAnsi"/>
          <w:sz w:val="20"/>
          <w:szCs w:val="20"/>
          <w:lang w:val="en-US"/>
        </w:rPr>
        <w:t>%. Validation at higher pressure (up to 50 bar) was only performed for methane/hydrogen mixtures with a hydrogen content between 20</w:t>
      </w:r>
      <w:r w:rsidR="00EF602D" w:rsidRPr="0042603A">
        <w:rPr>
          <w:rFonts w:asciiTheme="minorHAnsi" w:hAnsiTheme="minorHAnsi" w:cstheme="minorHAnsi"/>
          <w:sz w:val="20"/>
          <w:szCs w:val="20"/>
          <w:lang w:val="en-US"/>
        </w:rPr>
        <w:t xml:space="preserve"> % and </w:t>
      </w:r>
      <w:r w:rsidRPr="0042603A">
        <w:rPr>
          <w:rFonts w:asciiTheme="minorHAnsi" w:hAnsiTheme="minorHAnsi" w:cstheme="minorHAnsi"/>
          <w:sz w:val="20"/>
          <w:szCs w:val="20"/>
          <w:lang w:val="en-US"/>
        </w:rPr>
        <w:t>80</w:t>
      </w:r>
      <w:r w:rsidR="00EF602D" w:rsidRPr="0042603A">
        <w:rPr>
          <w:rFonts w:asciiTheme="minorHAnsi" w:hAnsiTheme="minorHAnsi" w:cstheme="minorHAnsi"/>
          <w:sz w:val="20"/>
          <w:szCs w:val="20"/>
          <w:lang w:val="en-US"/>
        </w:rPr>
        <w:t xml:space="preserve"> </w:t>
      </w:r>
      <w:r w:rsidRPr="0042603A">
        <w:rPr>
          <w:rFonts w:asciiTheme="minorHAnsi" w:hAnsiTheme="minorHAnsi" w:cstheme="minorHAnsi"/>
          <w:sz w:val="20"/>
          <w:szCs w:val="20"/>
          <w:lang w:val="en-US"/>
        </w:rPr>
        <w:t>%, leading to approximately the same values for the bias, with an RMS value within 2.5</w:t>
      </w:r>
      <w:r w:rsidR="00EF602D" w:rsidRPr="0042603A">
        <w:rPr>
          <w:rFonts w:asciiTheme="minorHAnsi" w:hAnsiTheme="minorHAnsi" w:cstheme="minorHAnsi"/>
          <w:sz w:val="20"/>
          <w:szCs w:val="20"/>
          <w:lang w:val="en-US"/>
        </w:rPr>
        <w:t xml:space="preserve"> </w:t>
      </w:r>
      <w:r w:rsidRPr="0042603A">
        <w:rPr>
          <w:rFonts w:asciiTheme="minorHAnsi" w:hAnsiTheme="minorHAnsi" w:cstheme="minorHAnsi"/>
          <w:sz w:val="20"/>
          <w:szCs w:val="20"/>
          <w:lang w:val="en-US"/>
        </w:rPr>
        <w:t>%. Other process software packages, like Aspen HYSYS or UNISIM</w:t>
      </w:r>
      <w:r w:rsidR="00B02CA4" w:rsidRPr="0042603A">
        <w:rPr>
          <w:rFonts w:asciiTheme="minorHAnsi" w:hAnsiTheme="minorHAnsi" w:cstheme="minorHAnsi"/>
          <w:sz w:val="20"/>
          <w:szCs w:val="20"/>
          <w:lang w:val="en-US"/>
        </w:rPr>
        <w:t xml:space="preserve"> </w:t>
      </w:r>
      <w:r w:rsidR="00B02CA4" w:rsidRPr="0042603A">
        <w:rPr>
          <w:rFonts w:asciiTheme="minorHAnsi" w:hAnsiTheme="minorHAnsi" w:cstheme="minorHAnsi"/>
          <w:b/>
          <w:bCs/>
          <w:color w:val="4472C4" w:themeColor="accent1"/>
          <w:sz w:val="20"/>
          <w:szCs w:val="20"/>
          <w:lang w:val="en-US"/>
        </w:rPr>
        <w:t>[27]</w:t>
      </w:r>
      <w:r w:rsidRPr="0042603A">
        <w:rPr>
          <w:rFonts w:asciiTheme="minorHAnsi" w:hAnsiTheme="minorHAnsi" w:cstheme="minorHAnsi"/>
          <w:sz w:val="20"/>
          <w:szCs w:val="20"/>
          <w:lang w:val="en-US"/>
        </w:rPr>
        <w:t>, use models based on the Ely-Hanley model and are expected to give similar results.</w:t>
      </w:r>
    </w:p>
    <w:p w14:paraId="510408E8" w14:textId="245A3207" w:rsidR="00BC19B8" w:rsidRPr="0042603A" w:rsidRDefault="00285DF5" w:rsidP="00F668C6">
      <w:pPr>
        <w:jc w:val="both"/>
        <w:rPr>
          <w:rFonts w:cstheme="minorHAnsi"/>
          <w:szCs w:val="20"/>
          <w:lang w:val="en-US"/>
        </w:rPr>
      </w:pPr>
      <w:r w:rsidRPr="0042603A">
        <w:rPr>
          <w:rFonts w:cstheme="minorHAnsi"/>
          <w:szCs w:val="20"/>
          <w:lang w:val="en-US"/>
        </w:rPr>
        <w:t>It should be noted that f</w:t>
      </w:r>
      <w:r w:rsidR="00BC19B8" w:rsidRPr="0042603A">
        <w:rPr>
          <w:rFonts w:cstheme="minorHAnsi"/>
          <w:szCs w:val="20"/>
          <w:lang w:val="en-US"/>
        </w:rPr>
        <w:t>or the intended use in the project, these stated uncertainties in the value of the viscosity are acceptable.</w:t>
      </w:r>
    </w:p>
    <w:p w14:paraId="6E0BF476" w14:textId="2F3FABF2" w:rsidR="001E7DA3" w:rsidRDefault="001E7DA3" w:rsidP="00F668C6">
      <w:pPr>
        <w:spacing w:line="276" w:lineRule="auto"/>
        <w:jc w:val="both"/>
        <w:rPr>
          <w:caps/>
          <w:kern w:val="28"/>
        </w:rPr>
      </w:pPr>
    </w:p>
    <w:p w14:paraId="38B41FD5" w14:textId="7135FBB4" w:rsidR="00E16F32" w:rsidRDefault="00E16F32" w:rsidP="00F668C6">
      <w:pPr>
        <w:spacing w:line="276" w:lineRule="auto"/>
        <w:jc w:val="both"/>
        <w:rPr>
          <w:caps/>
          <w:kern w:val="28"/>
        </w:rPr>
      </w:pPr>
    </w:p>
    <w:p w14:paraId="3F06139D" w14:textId="77777777" w:rsidR="00E16F32" w:rsidRDefault="00E16F32" w:rsidP="00F668C6">
      <w:pPr>
        <w:spacing w:line="276" w:lineRule="auto"/>
        <w:jc w:val="both"/>
        <w:rPr>
          <w:caps/>
          <w:kern w:val="28"/>
        </w:rPr>
      </w:pPr>
    </w:p>
    <w:p w14:paraId="151540C9" w14:textId="4F8D0CE0" w:rsidR="00BC19B8" w:rsidRDefault="00BC19B8" w:rsidP="00F668C6">
      <w:pPr>
        <w:pStyle w:val="Heading2"/>
        <w:jc w:val="both"/>
      </w:pPr>
      <w:bookmarkStart w:id="57" w:name="_Toc121830949"/>
      <w:r>
        <w:lastRenderedPageBreak/>
        <w:t>5.2 FLOW METERING TECHNOLOGIES</w:t>
      </w:r>
      <w:bookmarkEnd w:id="57"/>
      <w:r>
        <w:t xml:space="preserve">  </w:t>
      </w:r>
    </w:p>
    <w:p w14:paraId="68E0EA23" w14:textId="686AADAA" w:rsidR="00BC19B8" w:rsidRPr="0042603A" w:rsidRDefault="00BC19B8" w:rsidP="0042603A">
      <w:pPr>
        <w:spacing w:line="276" w:lineRule="auto"/>
        <w:jc w:val="both"/>
        <w:rPr>
          <w:rFonts w:eastAsiaTheme="minorEastAsia" w:cstheme="minorHAnsi"/>
          <w:szCs w:val="20"/>
          <w:lang w:val="en-US" w:eastAsia="zh-CN"/>
        </w:rPr>
      </w:pPr>
      <w:r w:rsidRPr="0042603A">
        <w:rPr>
          <w:rFonts w:eastAsiaTheme="minorEastAsia" w:cstheme="minorHAnsi"/>
          <w:szCs w:val="20"/>
          <w:lang w:val="en-US" w:eastAsia="zh-CN"/>
        </w:rPr>
        <w:t xml:space="preserve">The flow meter technologies under consideration are separated in two main groups: flow meters for distribution/transmission systems and flow meters for domestic use. For the distribution and transmission networks the turbine, ultrasonic, rotary and Coriolis meters are selected. Coriolis meters are typically not applied in custody transfer gas applications; however, the results are shown to provide a complete overview. For the domestic flow meters, the diaphragm meters and ultrasonic meters are </w:t>
      </w:r>
      <w:r w:rsidR="00EE5133" w:rsidRPr="0042603A">
        <w:rPr>
          <w:rFonts w:eastAsiaTheme="minorEastAsia" w:cstheme="minorHAnsi"/>
          <w:szCs w:val="20"/>
          <w:lang w:val="en-US" w:eastAsia="zh-CN"/>
        </w:rPr>
        <w:t>selected</w:t>
      </w:r>
      <w:r w:rsidRPr="0042603A">
        <w:rPr>
          <w:rFonts w:eastAsiaTheme="minorEastAsia" w:cstheme="minorHAnsi"/>
          <w:szCs w:val="20"/>
          <w:lang w:val="en-US" w:eastAsia="zh-CN"/>
        </w:rPr>
        <w:t>.</w:t>
      </w:r>
    </w:p>
    <w:p w14:paraId="49D0E705" w14:textId="0629E0F6" w:rsidR="00BC19B8" w:rsidRDefault="00BC19B8" w:rsidP="00F668C6">
      <w:pPr>
        <w:pStyle w:val="Heading3"/>
        <w:jc w:val="both"/>
      </w:pPr>
      <w:bookmarkStart w:id="58" w:name="_Toc121830950"/>
      <w:r>
        <w:t xml:space="preserve">5.2.1 </w:t>
      </w:r>
      <w:r w:rsidR="001E0DD6">
        <w:t>DISTRIBUTION AND TRANSMISSION FLOW METERS</w:t>
      </w:r>
      <w:bookmarkEnd w:id="58"/>
      <w:r w:rsidR="001E0DD6">
        <w:t xml:space="preserve"> </w:t>
      </w:r>
    </w:p>
    <w:p w14:paraId="394294D3" w14:textId="52E6A673" w:rsidR="00BC19B8" w:rsidRPr="0042603A" w:rsidRDefault="00BC19B8" w:rsidP="0042603A">
      <w:pPr>
        <w:spacing w:line="276" w:lineRule="auto"/>
        <w:jc w:val="both"/>
        <w:rPr>
          <w:rFonts w:cstheme="minorHAnsi"/>
          <w:szCs w:val="20"/>
        </w:rPr>
      </w:pPr>
      <w:r w:rsidRPr="0042603A">
        <w:rPr>
          <w:rFonts w:cstheme="minorHAnsi"/>
          <w:szCs w:val="20"/>
        </w:rPr>
        <w:t>For the distribution and transmission meters, only data for hydrogen-enriched natural gas</w:t>
      </w:r>
      <w:r w:rsidR="00A122D8" w:rsidRPr="0042603A">
        <w:rPr>
          <w:rFonts w:cstheme="minorHAnsi"/>
          <w:szCs w:val="20"/>
        </w:rPr>
        <w:t xml:space="preserve"> are available</w:t>
      </w:r>
      <w:r w:rsidRPr="0042603A">
        <w:rPr>
          <w:rFonts w:cstheme="minorHAnsi"/>
          <w:szCs w:val="20"/>
        </w:rPr>
        <w:t xml:space="preserve">. To the </w:t>
      </w:r>
      <w:r w:rsidR="00A122D8" w:rsidRPr="0042603A">
        <w:rPr>
          <w:rFonts w:cstheme="minorHAnsi"/>
          <w:szCs w:val="20"/>
        </w:rPr>
        <w:t xml:space="preserve">best </w:t>
      </w:r>
      <w:r w:rsidRPr="0042603A">
        <w:rPr>
          <w:rFonts w:cstheme="minorHAnsi"/>
          <w:szCs w:val="20"/>
        </w:rPr>
        <w:t xml:space="preserve">knowledge of the </w:t>
      </w:r>
      <w:r w:rsidR="00A122D8" w:rsidRPr="0042603A">
        <w:rPr>
          <w:rFonts w:cstheme="minorHAnsi"/>
          <w:szCs w:val="20"/>
        </w:rPr>
        <w:t>authors</w:t>
      </w:r>
      <w:r w:rsidRPr="0042603A">
        <w:rPr>
          <w:rFonts w:cstheme="minorHAnsi"/>
          <w:szCs w:val="20"/>
        </w:rPr>
        <w:t xml:space="preserve"> no project</w:t>
      </w:r>
      <w:r w:rsidR="00A122D8" w:rsidRPr="0042603A">
        <w:rPr>
          <w:rFonts w:cstheme="minorHAnsi"/>
          <w:szCs w:val="20"/>
        </w:rPr>
        <w:t>s</w:t>
      </w:r>
      <w:r w:rsidRPr="0042603A">
        <w:rPr>
          <w:rFonts w:cstheme="minorHAnsi"/>
          <w:szCs w:val="20"/>
        </w:rPr>
        <w:t xml:space="preserve"> have been executed with pure hydrogen on well-established </w:t>
      </w:r>
      <w:r w:rsidR="00A122D8" w:rsidRPr="0042603A">
        <w:rPr>
          <w:rFonts w:cstheme="minorHAnsi"/>
          <w:szCs w:val="20"/>
        </w:rPr>
        <w:t xml:space="preserve">traceable flow </w:t>
      </w:r>
      <w:r w:rsidRPr="0042603A">
        <w:rPr>
          <w:rFonts w:cstheme="minorHAnsi"/>
          <w:szCs w:val="20"/>
        </w:rPr>
        <w:t>test facilities</w:t>
      </w:r>
      <w:r w:rsidR="002B408D" w:rsidRPr="0042603A">
        <w:rPr>
          <w:rFonts w:cstheme="minorHAnsi"/>
          <w:szCs w:val="20"/>
        </w:rPr>
        <w:t xml:space="preserve"> so far</w:t>
      </w:r>
      <w:r w:rsidRPr="0042603A">
        <w:rPr>
          <w:rFonts w:cstheme="minorHAnsi"/>
          <w:szCs w:val="20"/>
        </w:rPr>
        <w:t>.</w:t>
      </w:r>
    </w:p>
    <w:p w14:paraId="35F2A972" w14:textId="69E2840F" w:rsidR="00BC19B8" w:rsidRPr="001E0DD6" w:rsidRDefault="00E95A23" w:rsidP="00E95A23">
      <w:pPr>
        <w:pStyle w:val="Heading4"/>
      </w:pPr>
      <w:r>
        <w:t xml:space="preserve">5.2.1.1 </w:t>
      </w:r>
      <w:r w:rsidR="001E0DD6">
        <w:t xml:space="preserve">TURBINE METERS </w:t>
      </w:r>
    </w:p>
    <w:p w14:paraId="3744ADA0" w14:textId="7FAD0F18" w:rsidR="00FC2903" w:rsidRPr="0042603A" w:rsidRDefault="00FC2903" w:rsidP="00F668C6">
      <w:pPr>
        <w:pStyle w:val="BodyText"/>
        <w:jc w:val="both"/>
        <w:rPr>
          <w:rFonts w:asciiTheme="minorHAnsi" w:hAnsiTheme="minorHAnsi" w:cstheme="minorHAnsi"/>
          <w:sz w:val="20"/>
          <w:szCs w:val="20"/>
          <w:lang w:val="en-US"/>
        </w:rPr>
      </w:pPr>
      <w:r w:rsidRPr="0042603A">
        <w:rPr>
          <w:rFonts w:asciiTheme="minorHAnsi" w:hAnsiTheme="minorHAnsi" w:cstheme="minorHAnsi"/>
          <w:sz w:val="20"/>
          <w:szCs w:val="20"/>
          <w:lang w:val="en-US"/>
        </w:rPr>
        <w:t xml:space="preserve">Several </w:t>
      </w:r>
      <w:bookmarkStart w:id="59" w:name="_Hlk111114684"/>
      <w:r w:rsidRPr="0042603A">
        <w:rPr>
          <w:rFonts w:asciiTheme="minorHAnsi" w:hAnsiTheme="minorHAnsi" w:cstheme="minorHAnsi"/>
          <w:sz w:val="20"/>
          <w:szCs w:val="20"/>
          <w:lang w:val="en-US"/>
        </w:rPr>
        <w:t xml:space="preserve">6” turbine </w:t>
      </w:r>
      <w:r w:rsidRPr="0042603A">
        <w:rPr>
          <w:rFonts w:asciiTheme="minorHAnsi" w:hAnsiTheme="minorHAnsi" w:cstheme="minorHAnsi"/>
          <w:sz w:val="20"/>
          <w:szCs w:val="20"/>
          <w:lang w:val="en-US"/>
        </w:rPr>
        <w:t>meters were tested by DNV</w:t>
      </w:r>
      <w:r w:rsidR="0036249B">
        <w:rPr>
          <w:rFonts w:asciiTheme="minorHAnsi" w:hAnsiTheme="minorHAnsi" w:cstheme="minorHAnsi"/>
          <w:sz w:val="20"/>
          <w:szCs w:val="20"/>
          <w:lang w:val="en-US"/>
        </w:rPr>
        <w:t xml:space="preserve"> in 2021</w:t>
      </w:r>
      <w:r w:rsidR="005932C4">
        <w:rPr>
          <w:rFonts w:asciiTheme="minorHAnsi" w:hAnsiTheme="minorHAnsi" w:cstheme="minorHAnsi"/>
          <w:sz w:val="20"/>
          <w:szCs w:val="20"/>
          <w:lang w:val="en-US"/>
        </w:rPr>
        <w:t xml:space="preserve">. Results show that their response </w:t>
      </w:r>
      <w:r w:rsidR="005932C4">
        <w:rPr>
          <w:rFonts w:asciiTheme="minorHAnsi" w:hAnsiTheme="minorHAnsi" w:cstheme="minorHAnsi"/>
          <w:sz w:val="20"/>
          <w:szCs w:val="20"/>
          <w:lang w:val="en-US"/>
        </w:rPr>
        <w:t>with</w:t>
      </w:r>
      <w:r w:rsidRPr="0042603A">
        <w:rPr>
          <w:rFonts w:asciiTheme="minorHAnsi" w:hAnsiTheme="minorHAnsi" w:cstheme="minorHAnsi"/>
          <w:sz w:val="20"/>
          <w:szCs w:val="20"/>
          <w:lang w:val="en-US"/>
        </w:rPr>
        <w:t xml:space="preserve"> hydrogen-enriched natural gas</w:t>
      </w:r>
      <w:r w:rsidR="005932C4">
        <w:rPr>
          <w:rFonts w:asciiTheme="minorHAnsi" w:hAnsiTheme="minorHAnsi" w:cstheme="minorHAnsi"/>
          <w:sz w:val="20"/>
          <w:szCs w:val="20"/>
          <w:lang w:val="en-US"/>
        </w:rPr>
        <w:t xml:space="preserve"> is </w:t>
      </w:r>
      <w:proofErr w:type="gramStart"/>
      <w:r w:rsidR="005932C4">
        <w:rPr>
          <w:rFonts w:asciiTheme="minorHAnsi" w:hAnsiTheme="minorHAnsi" w:cstheme="minorHAnsi"/>
          <w:sz w:val="20"/>
          <w:szCs w:val="20"/>
          <w:lang w:val="en-US"/>
        </w:rPr>
        <w:t>similar to</w:t>
      </w:r>
      <w:proofErr w:type="gramEnd"/>
      <w:r w:rsidR="005932C4">
        <w:rPr>
          <w:rFonts w:asciiTheme="minorHAnsi" w:hAnsiTheme="minorHAnsi" w:cstheme="minorHAnsi"/>
          <w:sz w:val="20"/>
          <w:szCs w:val="20"/>
          <w:lang w:val="en-US"/>
        </w:rPr>
        <w:t xml:space="preserve"> that with natural gas</w:t>
      </w:r>
      <w:r w:rsidRPr="0042603A">
        <w:rPr>
          <w:rFonts w:asciiTheme="minorHAnsi" w:hAnsiTheme="minorHAnsi" w:cstheme="minorHAnsi"/>
          <w:sz w:val="20"/>
          <w:szCs w:val="20"/>
          <w:lang w:val="en-US"/>
        </w:rPr>
        <w:t xml:space="preserve">. </w:t>
      </w:r>
      <w:bookmarkEnd w:id="59"/>
      <w:r w:rsidRPr="0042603A">
        <w:rPr>
          <w:rFonts w:asciiTheme="minorHAnsi" w:hAnsiTheme="minorHAnsi" w:cstheme="minorHAnsi"/>
          <w:sz w:val="20"/>
          <w:szCs w:val="20"/>
          <w:lang w:val="en-US"/>
        </w:rPr>
        <w:t>The results of a typical turbine meter response are provided in</w:t>
      </w:r>
      <w:r w:rsidR="00FD2975" w:rsidRPr="0042603A">
        <w:rPr>
          <w:rFonts w:asciiTheme="minorHAnsi" w:hAnsiTheme="minorHAnsi" w:cstheme="minorHAnsi"/>
          <w:sz w:val="20"/>
          <w:szCs w:val="20"/>
          <w:lang w:val="en-US"/>
        </w:rPr>
        <w:t xml:space="preserve"> </w:t>
      </w:r>
      <w:r w:rsidR="00FD2975" w:rsidRPr="0042603A">
        <w:rPr>
          <w:rFonts w:asciiTheme="minorHAnsi" w:hAnsiTheme="minorHAnsi" w:cstheme="minorHAnsi"/>
          <w:sz w:val="20"/>
          <w:szCs w:val="20"/>
          <w:lang w:val="en-US"/>
        </w:rPr>
        <w:fldChar w:fldCharType="begin"/>
      </w:r>
      <w:r w:rsidR="00FD2975" w:rsidRPr="0042603A">
        <w:rPr>
          <w:rFonts w:asciiTheme="minorHAnsi" w:hAnsiTheme="minorHAnsi" w:cstheme="minorHAnsi"/>
          <w:sz w:val="20"/>
          <w:szCs w:val="20"/>
          <w:lang w:val="en-US"/>
        </w:rPr>
        <w:instrText xml:space="preserve"> REF _Ref110337600 \h </w:instrText>
      </w:r>
      <w:r w:rsidR="0042603A" w:rsidRPr="0042603A">
        <w:rPr>
          <w:rFonts w:asciiTheme="minorHAnsi" w:hAnsiTheme="minorHAnsi" w:cstheme="minorHAnsi"/>
          <w:sz w:val="20"/>
          <w:szCs w:val="20"/>
          <w:lang w:val="en-US"/>
        </w:rPr>
        <w:instrText xml:space="preserve"> \* MERGEFORMAT </w:instrText>
      </w:r>
      <w:r w:rsidR="00FD2975" w:rsidRPr="0042603A">
        <w:rPr>
          <w:rFonts w:asciiTheme="minorHAnsi" w:hAnsiTheme="minorHAnsi" w:cstheme="minorHAnsi"/>
          <w:sz w:val="20"/>
          <w:szCs w:val="20"/>
          <w:lang w:val="en-US"/>
        </w:rPr>
      </w:r>
      <w:r w:rsidR="00FD2975" w:rsidRPr="0042603A">
        <w:rPr>
          <w:rFonts w:asciiTheme="minorHAnsi" w:hAnsiTheme="minorHAnsi" w:cstheme="minorHAnsi"/>
          <w:sz w:val="20"/>
          <w:szCs w:val="20"/>
          <w:lang w:val="en-US"/>
        </w:rPr>
        <w:fldChar w:fldCharType="separate"/>
      </w:r>
      <w:r w:rsidR="00FD2975" w:rsidRPr="0042603A">
        <w:rPr>
          <w:rFonts w:asciiTheme="minorHAnsi" w:hAnsiTheme="minorHAnsi" w:cstheme="minorHAnsi"/>
          <w:b/>
          <w:color w:val="007AAE"/>
          <w:sz w:val="20"/>
          <w:szCs w:val="20"/>
        </w:rPr>
        <w:t>Figure 14</w:t>
      </w:r>
      <w:r w:rsidR="00FD2975" w:rsidRPr="0042603A">
        <w:rPr>
          <w:rFonts w:asciiTheme="minorHAnsi" w:hAnsiTheme="minorHAnsi" w:cstheme="minorHAnsi"/>
          <w:sz w:val="20"/>
          <w:szCs w:val="20"/>
          <w:lang w:val="en-US"/>
        </w:rPr>
        <w:fldChar w:fldCharType="end"/>
      </w:r>
      <w:r w:rsidRPr="0042603A">
        <w:rPr>
          <w:rFonts w:asciiTheme="minorHAnsi" w:hAnsiTheme="minorHAnsi" w:cstheme="minorHAnsi"/>
          <w:sz w:val="20"/>
          <w:szCs w:val="20"/>
          <w:lang w:val="en-US"/>
        </w:rPr>
        <w:t xml:space="preserve">. As observed, for the hydrogen enriched data points the meter curve is not significantly altered, </w:t>
      </w:r>
      <w:proofErr w:type="gramStart"/>
      <w:r w:rsidRPr="0042603A">
        <w:rPr>
          <w:rFonts w:asciiTheme="minorHAnsi" w:hAnsiTheme="minorHAnsi" w:cstheme="minorHAnsi"/>
          <w:sz w:val="20"/>
          <w:szCs w:val="20"/>
          <w:lang w:val="en-US"/>
        </w:rPr>
        <w:t>i.e.</w:t>
      </w:r>
      <w:proofErr w:type="gramEnd"/>
      <w:r w:rsidRPr="0042603A">
        <w:rPr>
          <w:rFonts w:asciiTheme="minorHAnsi" w:hAnsiTheme="minorHAnsi" w:cstheme="minorHAnsi"/>
          <w:sz w:val="20"/>
          <w:szCs w:val="20"/>
          <w:lang w:val="en-US"/>
        </w:rPr>
        <w:t xml:space="preserve"> the deviations are typically of the same order as the meter repeatability and smaller than the facility uncertainty. The response at low flow rates is influenced by the bearing friction and therefore a pressure dependence is observed. For full comparison this effect should be compensated by </w:t>
      </w:r>
      <w:r w:rsidR="00854746">
        <w:rPr>
          <w:rFonts w:asciiTheme="minorHAnsi" w:hAnsiTheme="minorHAnsi" w:cstheme="minorHAnsi"/>
          <w:sz w:val="20"/>
          <w:szCs w:val="20"/>
          <w:lang w:val="en-US"/>
        </w:rPr>
        <w:t>for example</w:t>
      </w:r>
      <w:r w:rsidRPr="0042603A">
        <w:rPr>
          <w:rFonts w:asciiTheme="minorHAnsi" w:hAnsiTheme="minorHAnsi" w:cstheme="minorHAnsi"/>
          <w:sz w:val="20"/>
          <w:szCs w:val="20"/>
          <w:lang w:val="en-US"/>
        </w:rPr>
        <w:t xml:space="preserve"> the PTB turbine meter model</w:t>
      </w:r>
      <w:r w:rsidR="00B74C1D" w:rsidRPr="0042603A">
        <w:rPr>
          <w:rFonts w:asciiTheme="minorHAnsi" w:hAnsiTheme="minorHAnsi" w:cstheme="minorHAnsi"/>
          <w:sz w:val="20"/>
          <w:szCs w:val="20"/>
          <w:lang w:val="en-US"/>
        </w:rPr>
        <w:t xml:space="preserve"> </w:t>
      </w:r>
      <w:r w:rsidR="00B74C1D" w:rsidRPr="00854746">
        <w:rPr>
          <w:rFonts w:asciiTheme="minorHAnsi" w:hAnsiTheme="minorHAnsi" w:cstheme="minorHAnsi"/>
          <w:b/>
          <w:bCs/>
          <w:color w:val="4472C4" w:themeColor="accent1"/>
          <w:sz w:val="20"/>
          <w:szCs w:val="20"/>
          <w:lang w:val="en-US"/>
        </w:rPr>
        <w:t>[22]</w:t>
      </w:r>
      <w:r w:rsidRPr="0042603A">
        <w:rPr>
          <w:rFonts w:asciiTheme="minorHAnsi" w:hAnsiTheme="minorHAnsi" w:cstheme="minorHAnsi"/>
          <w:sz w:val="20"/>
          <w:szCs w:val="20"/>
          <w:lang w:val="en-US"/>
        </w:rPr>
        <w:t xml:space="preserve">. </w:t>
      </w:r>
    </w:p>
    <w:p w14:paraId="125B6F7B" w14:textId="77777777" w:rsidR="00FD2975" w:rsidRDefault="00FC2903" w:rsidP="00FD2975">
      <w:pPr>
        <w:pStyle w:val="BodyText"/>
        <w:keepNext/>
        <w:jc w:val="both"/>
      </w:pPr>
      <w:r>
        <w:rPr>
          <w:noProof/>
          <w:lang w:val="en-US"/>
        </w:rPr>
        <w:drawing>
          <wp:inline distT="0" distB="0" distL="0" distR="0" wp14:anchorId="2374148A" wp14:editId="420297E7">
            <wp:extent cx="5731510" cy="3347085"/>
            <wp:effectExtent l="0" t="0" r="2540" b="571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3347085"/>
                    </a:xfrm>
                    <a:prstGeom prst="rect">
                      <a:avLst/>
                    </a:prstGeom>
                    <a:noFill/>
                    <a:ln>
                      <a:noFill/>
                    </a:ln>
                  </pic:spPr>
                </pic:pic>
              </a:graphicData>
            </a:graphic>
          </wp:inline>
        </w:drawing>
      </w:r>
    </w:p>
    <w:p w14:paraId="7E328E43" w14:textId="3C81E808" w:rsidR="00E16F32" w:rsidRPr="00170224" w:rsidRDefault="00FD2975" w:rsidP="00170224">
      <w:pPr>
        <w:spacing w:before="120" w:line="276" w:lineRule="auto"/>
        <w:ind w:left="2552" w:right="1134" w:hanging="1418"/>
        <w:jc w:val="both"/>
        <w:rPr>
          <w:bCs/>
          <w:color w:val="000000" w:themeColor="text1"/>
          <w:sz w:val="18"/>
          <w:szCs w:val="18"/>
        </w:rPr>
      </w:pPr>
      <w:bookmarkStart w:id="60" w:name="_Ref110337600"/>
      <w:r w:rsidRPr="00FD2975">
        <w:rPr>
          <w:b/>
          <w:color w:val="007AAE"/>
          <w:sz w:val="18"/>
          <w:szCs w:val="18"/>
        </w:rPr>
        <w:t xml:space="preserve">Figure </w:t>
      </w:r>
      <w:r w:rsidRPr="00FD2975">
        <w:rPr>
          <w:b/>
          <w:color w:val="007AAE"/>
          <w:sz w:val="18"/>
          <w:szCs w:val="18"/>
        </w:rPr>
        <w:fldChar w:fldCharType="begin"/>
      </w:r>
      <w:r w:rsidRPr="00FD2975">
        <w:rPr>
          <w:b/>
          <w:color w:val="007AAE"/>
          <w:sz w:val="18"/>
          <w:szCs w:val="18"/>
        </w:rPr>
        <w:instrText xml:space="preserve"> SEQ Figure \* ARABIC </w:instrText>
      </w:r>
      <w:r w:rsidRPr="00FD2975">
        <w:rPr>
          <w:b/>
          <w:color w:val="007AAE"/>
          <w:sz w:val="18"/>
          <w:szCs w:val="18"/>
        </w:rPr>
        <w:fldChar w:fldCharType="separate"/>
      </w:r>
      <w:r w:rsidR="00EF1E54">
        <w:rPr>
          <w:b/>
          <w:noProof/>
          <w:color w:val="007AAE"/>
          <w:sz w:val="18"/>
          <w:szCs w:val="18"/>
        </w:rPr>
        <w:t>14</w:t>
      </w:r>
      <w:r w:rsidRPr="00FD2975">
        <w:rPr>
          <w:b/>
          <w:color w:val="007AAE"/>
          <w:sz w:val="18"/>
          <w:szCs w:val="18"/>
        </w:rPr>
        <w:fldChar w:fldCharType="end"/>
      </w:r>
      <w:bookmarkEnd w:id="60"/>
      <w:r w:rsidRPr="00FD2975">
        <w:rPr>
          <w:b/>
          <w:color w:val="007AAE"/>
          <w:sz w:val="18"/>
          <w:szCs w:val="18"/>
        </w:rPr>
        <w:t xml:space="preserve"> </w:t>
      </w:r>
      <w:proofErr w:type="gramStart"/>
      <w:r w:rsidRPr="00FD2975">
        <w:rPr>
          <w:bCs/>
          <w:color w:val="000000" w:themeColor="text1"/>
          <w:sz w:val="18"/>
          <w:szCs w:val="18"/>
        </w:rPr>
        <w:t>-  Measurement</w:t>
      </w:r>
      <w:proofErr w:type="gramEnd"/>
      <w:r w:rsidRPr="00FD2975">
        <w:rPr>
          <w:bCs/>
          <w:color w:val="000000" w:themeColor="text1"/>
          <w:sz w:val="18"/>
          <w:szCs w:val="18"/>
        </w:rPr>
        <w:t xml:space="preserve"> deviation of a 6” turbine meter as a function of Reynolds number for natural gas and hydrogen-enriched natural gas.</w:t>
      </w:r>
    </w:p>
    <w:p w14:paraId="1C2DA0BB" w14:textId="57EA758E" w:rsidR="00FC2903" w:rsidRPr="001E0DD6" w:rsidRDefault="00E95A23" w:rsidP="00E95A23">
      <w:pPr>
        <w:pStyle w:val="Heading4"/>
      </w:pPr>
      <w:r>
        <w:t xml:space="preserve">5.2.1.2 </w:t>
      </w:r>
      <w:r w:rsidR="00FC2903">
        <w:t xml:space="preserve">ULTRASONIC METERS </w:t>
      </w:r>
    </w:p>
    <w:p w14:paraId="234E9954" w14:textId="106B9894" w:rsidR="00FC2903" w:rsidRPr="0042603A" w:rsidRDefault="00FC2903" w:rsidP="00F668C6">
      <w:pPr>
        <w:pStyle w:val="BodyText"/>
        <w:jc w:val="both"/>
        <w:rPr>
          <w:rFonts w:asciiTheme="minorHAnsi" w:hAnsiTheme="minorHAnsi" w:cstheme="minorHAnsi"/>
          <w:sz w:val="20"/>
          <w:szCs w:val="20"/>
          <w:lang w:val="en-US"/>
        </w:rPr>
      </w:pPr>
      <w:r w:rsidRPr="0042603A">
        <w:rPr>
          <w:rFonts w:asciiTheme="minorHAnsi" w:hAnsiTheme="minorHAnsi" w:cstheme="minorHAnsi"/>
          <w:sz w:val="20"/>
          <w:szCs w:val="20"/>
          <w:lang w:val="en-US"/>
        </w:rPr>
        <w:t xml:space="preserve">A large set of ultrasonic meters were tested during the same test at DNV. The ultrasonic meters </w:t>
      </w:r>
      <w:r w:rsidR="007029E8">
        <w:rPr>
          <w:rFonts w:asciiTheme="minorHAnsi" w:hAnsiTheme="minorHAnsi" w:cstheme="minorHAnsi"/>
          <w:sz w:val="20"/>
          <w:szCs w:val="20"/>
          <w:lang w:val="en-US"/>
        </w:rPr>
        <w:t xml:space="preserve">response </w:t>
      </w:r>
      <w:r w:rsidR="007029E8" w:rsidRPr="007029E8">
        <w:rPr>
          <w:rFonts w:asciiTheme="minorHAnsi" w:hAnsiTheme="minorHAnsi" w:cstheme="minorHAnsi"/>
          <w:sz w:val="20"/>
          <w:szCs w:val="20"/>
          <w:lang w:val="en-US"/>
        </w:rPr>
        <w:t xml:space="preserve">between the tested meters </w:t>
      </w:r>
      <w:r w:rsidR="007029E8">
        <w:rPr>
          <w:rFonts w:asciiTheme="minorHAnsi" w:hAnsiTheme="minorHAnsi" w:cstheme="minorHAnsi"/>
          <w:sz w:val="20"/>
          <w:szCs w:val="20"/>
          <w:lang w:val="en-US"/>
        </w:rPr>
        <w:t xml:space="preserve">was not as consistent </w:t>
      </w:r>
      <w:r w:rsidRPr="0042603A">
        <w:rPr>
          <w:rFonts w:asciiTheme="minorHAnsi" w:hAnsiTheme="minorHAnsi" w:cstheme="minorHAnsi"/>
          <w:sz w:val="20"/>
          <w:szCs w:val="20"/>
          <w:lang w:val="en-US"/>
        </w:rPr>
        <w:t xml:space="preserve">as </w:t>
      </w:r>
      <w:r w:rsidR="007029E8">
        <w:rPr>
          <w:rFonts w:asciiTheme="minorHAnsi" w:hAnsiTheme="minorHAnsi" w:cstheme="minorHAnsi"/>
          <w:sz w:val="20"/>
          <w:szCs w:val="20"/>
          <w:lang w:val="en-US"/>
        </w:rPr>
        <w:t xml:space="preserve">for </w:t>
      </w:r>
      <w:r w:rsidRPr="0042603A">
        <w:rPr>
          <w:rFonts w:asciiTheme="minorHAnsi" w:hAnsiTheme="minorHAnsi" w:cstheme="minorHAnsi"/>
          <w:sz w:val="20"/>
          <w:szCs w:val="20"/>
          <w:lang w:val="en-US"/>
        </w:rPr>
        <w:t xml:space="preserve">the turbine meters. For ultrasonic meters </w:t>
      </w:r>
      <w:r w:rsidR="007029E8">
        <w:rPr>
          <w:rFonts w:asciiTheme="minorHAnsi" w:hAnsiTheme="minorHAnsi" w:cstheme="minorHAnsi"/>
          <w:sz w:val="20"/>
          <w:szCs w:val="20"/>
          <w:lang w:val="en-US"/>
        </w:rPr>
        <w:t>several</w:t>
      </w:r>
      <w:r w:rsidRPr="0042603A">
        <w:rPr>
          <w:rFonts w:asciiTheme="minorHAnsi" w:hAnsiTheme="minorHAnsi" w:cstheme="minorHAnsi"/>
          <w:sz w:val="20"/>
          <w:szCs w:val="20"/>
          <w:lang w:val="en-US"/>
        </w:rPr>
        <w:t xml:space="preserve"> options are available in the </w:t>
      </w:r>
      <w:r w:rsidR="007029E8" w:rsidRPr="0042603A">
        <w:rPr>
          <w:rFonts w:asciiTheme="minorHAnsi" w:hAnsiTheme="minorHAnsi" w:cstheme="minorHAnsi"/>
          <w:sz w:val="20"/>
          <w:szCs w:val="20"/>
          <w:lang w:val="en-US"/>
        </w:rPr>
        <w:t>software,</w:t>
      </w:r>
      <w:r w:rsidRPr="0042603A">
        <w:rPr>
          <w:rFonts w:asciiTheme="minorHAnsi" w:hAnsiTheme="minorHAnsi" w:cstheme="minorHAnsi"/>
          <w:sz w:val="20"/>
          <w:szCs w:val="20"/>
          <w:lang w:val="en-US"/>
        </w:rPr>
        <w:t xml:space="preserve"> and this is deemed as the main cause for the differences between the</w:t>
      </w:r>
      <w:r w:rsidR="007029E8">
        <w:rPr>
          <w:rFonts w:asciiTheme="minorHAnsi" w:hAnsiTheme="minorHAnsi" w:cstheme="minorHAnsi"/>
          <w:sz w:val="20"/>
          <w:szCs w:val="20"/>
          <w:lang w:val="en-US"/>
        </w:rPr>
        <w:t xml:space="preserve"> tested</w:t>
      </w:r>
      <w:r w:rsidRPr="0042603A">
        <w:rPr>
          <w:rFonts w:asciiTheme="minorHAnsi" w:hAnsiTheme="minorHAnsi" w:cstheme="minorHAnsi"/>
          <w:sz w:val="20"/>
          <w:szCs w:val="20"/>
          <w:lang w:val="en-US"/>
        </w:rPr>
        <w:t xml:space="preserve"> flow meters. The results of two ultrasonic meters are provided in</w:t>
      </w:r>
      <w:r w:rsidR="00AA3E4E" w:rsidRPr="0042603A">
        <w:rPr>
          <w:rFonts w:asciiTheme="minorHAnsi" w:hAnsiTheme="minorHAnsi" w:cstheme="minorHAnsi"/>
          <w:sz w:val="20"/>
          <w:szCs w:val="20"/>
          <w:lang w:val="en-US"/>
        </w:rPr>
        <w:t xml:space="preserve"> </w:t>
      </w:r>
      <w:r w:rsidR="00AA3E4E" w:rsidRPr="0042603A">
        <w:rPr>
          <w:rFonts w:asciiTheme="minorHAnsi" w:hAnsiTheme="minorHAnsi" w:cstheme="minorHAnsi"/>
          <w:sz w:val="20"/>
          <w:szCs w:val="20"/>
          <w:lang w:val="en-US"/>
        </w:rPr>
        <w:fldChar w:fldCharType="begin"/>
      </w:r>
      <w:r w:rsidR="00AA3E4E" w:rsidRPr="0042603A">
        <w:rPr>
          <w:rFonts w:asciiTheme="minorHAnsi" w:hAnsiTheme="minorHAnsi" w:cstheme="minorHAnsi"/>
          <w:sz w:val="20"/>
          <w:szCs w:val="20"/>
          <w:lang w:val="en-US"/>
        </w:rPr>
        <w:instrText xml:space="preserve"> REF _Ref110337946 \h </w:instrText>
      </w:r>
      <w:r w:rsidR="0042603A" w:rsidRPr="0042603A">
        <w:rPr>
          <w:rFonts w:asciiTheme="minorHAnsi" w:hAnsiTheme="minorHAnsi" w:cstheme="minorHAnsi"/>
          <w:sz w:val="20"/>
          <w:szCs w:val="20"/>
          <w:lang w:val="en-US"/>
        </w:rPr>
        <w:instrText xml:space="preserve"> \* MERGEFORMAT </w:instrText>
      </w:r>
      <w:r w:rsidR="00AA3E4E" w:rsidRPr="0042603A">
        <w:rPr>
          <w:rFonts w:asciiTheme="minorHAnsi" w:hAnsiTheme="minorHAnsi" w:cstheme="minorHAnsi"/>
          <w:sz w:val="20"/>
          <w:szCs w:val="20"/>
          <w:lang w:val="en-US"/>
        </w:rPr>
      </w:r>
      <w:r w:rsidR="00AA3E4E" w:rsidRPr="0042603A">
        <w:rPr>
          <w:rFonts w:asciiTheme="minorHAnsi" w:hAnsiTheme="minorHAnsi" w:cstheme="minorHAnsi"/>
          <w:sz w:val="20"/>
          <w:szCs w:val="20"/>
          <w:lang w:val="en-US"/>
        </w:rPr>
        <w:fldChar w:fldCharType="separate"/>
      </w:r>
      <w:r w:rsidR="00AA3E4E" w:rsidRPr="0042603A">
        <w:rPr>
          <w:rFonts w:asciiTheme="minorHAnsi" w:hAnsiTheme="minorHAnsi" w:cstheme="minorHAnsi"/>
          <w:b/>
          <w:color w:val="007AAE"/>
          <w:sz w:val="20"/>
          <w:szCs w:val="20"/>
        </w:rPr>
        <w:t xml:space="preserve">Figure </w:t>
      </w:r>
      <w:r w:rsidR="00AA3E4E" w:rsidRPr="0042603A">
        <w:rPr>
          <w:rFonts w:asciiTheme="minorHAnsi" w:hAnsiTheme="minorHAnsi" w:cstheme="minorHAnsi"/>
          <w:b/>
          <w:noProof/>
          <w:color w:val="007AAE"/>
          <w:sz w:val="20"/>
          <w:szCs w:val="20"/>
        </w:rPr>
        <w:t>15</w:t>
      </w:r>
      <w:r w:rsidR="00AA3E4E" w:rsidRPr="0042603A">
        <w:rPr>
          <w:rFonts w:asciiTheme="minorHAnsi" w:hAnsiTheme="minorHAnsi" w:cstheme="minorHAnsi"/>
          <w:sz w:val="20"/>
          <w:szCs w:val="20"/>
          <w:lang w:val="en-US"/>
        </w:rPr>
        <w:fldChar w:fldCharType="end"/>
      </w:r>
      <w:r w:rsidRPr="0042603A">
        <w:rPr>
          <w:rFonts w:asciiTheme="minorHAnsi" w:hAnsiTheme="minorHAnsi" w:cstheme="minorHAnsi"/>
          <w:sz w:val="20"/>
          <w:szCs w:val="20"/>
          <w:lang w:val="en-US"/>
        </w:rPr>
        <w:t xml:space="preserve">. </w:t>
      </w:r>
      <w:proofErr w:type="gramStart"/>
      <w:r w:rsidRPr="0042603A">
        <w:rPr>
          <w:rFonts w:asciiTheme="minorHAnsi" w:hAnsiTheme="minorHAnsi" w:cstheme="minorHAnsi"/>
          <w:sz w:val="20"/>
          <w:szCs w:val="20"/>
          <w:lang w:val="en-US"/>
        </w:rPr>
        <w:t>It is clear that the</w:t>
      </w:r>
      <w:proofErr w:type="gramEnd"/>
      <w:r w:rsidRPr="0042603A">
        <w:rPr>
          <w:rFonts w:asciiTheme="minorHAnsi" w:hAnsiTheme="minorHAnsi" w:cstheme="minorHAnsi"/>
          <w:sz w:val="20"/>
          <w:szCs w:val="20"/>
          <w:lang w:val="en-US"/>
        </w:rPr>
        <w:t xml:space="preserve"> 8” meter has more scatter but does not show a consistent systematic trend for the hydrogen-enriched natural gas, again within meter </w:t>
      </w:r>
      <w:r w:rsidRPr="0042603A">
        <w:rPr>
          <w:rFonts w:asciiTheme="minorHAnsi" w:hAnsiTheme="minorHAnsi" w:cstheme="minorHAnsi"/>
          <w:sz w:val="20"/>
          <w:szCs w:val="20"/>
          <w:lang w:val="en-US"/>
        </w:rPr>
        <w:t>repeatability and facility uncertainty</w:t>
      </w:r>
      <w:r w:rsidR="00080049">
        <w:rPr>
          <w:rFonts w:asciiTheme="minorHAnsi" w:hAnsiTheme="minorHAnsi" w:cstheme="minorHAnsi"/>
          <w:sz w:val="20"/>
          <w:szCs w:val="20"/>
          <w:lang w:val="en-US"/>
        </w:rPr>
        <w:t xml:space="preserve"> of approximately 0.3%</w:t>
      </w:r>
      <w:r w:rsidRPr="0042603A">
        <w:rPr>
          <w:rFonts w:asciiTheme="minorHAnsi" w:hAnsiTheme="minorHAnsi" w:cstheme="minorHAnsi"/>
          <w:sz w:val="20"/>
          <w:szCs w:val="20"/>
          <w:lang w:val="en-US"/>
        </w:rPr>
        <w:t xml:space="preserve">. The 6” meter exhibits less scatter and better repeatability, but a systematic trend between the gas mixtures is observed which is significant to the meter repeatability and facility uncertainty. </w:t>
      </w:r>
    </w:p>
    <w:p w14:paraId="195CF998" w14:textId="319C43B3" w:rsidR="00FC2903" w:rsidRDefault="00FC2903" w:rsidP="00F668C6">
      <w:pPr>
        <w:pStyle w:val="BodyText"/>
        <w:jc w:val="both"/>
        <w:rPr>
          <w:lang w:val="en-US"/>
        </w:rPr>
      </w:pPr>
      <w:r>
        <w:rPr>
          <w:noProof/>
          <w:lang w:val="en-US"/>
        </w:rPr>
        <w:lastRenderedPageBreak/>
        <w:drawing>
          <wp:inline distT="0" distB="0" distL="0" distR="0" wp14:anchorId="612BB7E7" wp14:editId="5C227981">
            <wp:extent cx="5731510" cy="3347085"/>
            <wp:effectExtent l="0" t="0" r="2540" b="571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1510" cy="3347085"/>
                    </a:xfrm>
                    <a:prstGeom prst="rect">
                      <a:avLst/>
                    </a:prstGeom>
                    <a:noFill/>
                    <a:ln>
                      <a:noFill/>
                    </a:ln>
                  </pic:spPr>
                </pic:pic>
              </a:graphicData>
            </a:graphic>
          </wp:inline>
        </w:drawing>
      </w:r>
    </w:p>
    <w:p w14:paraId="37EAB4C7" w14:textId="77777777" w:rsidR="00E16F32" w:rsidRDefault="00FC2903" w:rsidP="00E16F32">
      <w:pPr>
        <w:pStyle w:val="BodyText"/>
        <w:keepNext/>
        <w:jc w:val="both"/>
      </w:pPr>
      <w:r>
        <w:rPr>
          <w:noProof/>
          <w:lang w:val="en-US"/>
        </w:rPr>
        <w:drawing>
          <wp:inline distT="0" distB="0" distL="0" distR="0" wp14:anchorId="653AFED2" wp14:editId="51CDCF95">
            <wp:extent cx="5731510" cy="3343275"/>
            <wp:effectExtent l="0" t="0" r="2540"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1510" cy="3343275"/>
                    </a:xfrm>
                    <a:prstGeom prst="rect">
                      <a:avLst/>
                    </a:prstGeom>
                    <a:noFill/>
                    <a:ln>
                      <a:noFill/>
                    </a:ln>
                  </pic:spPr>
                </pic:pic>
              </a:graphicData>
            </a:graphic>
          </wp:inline>
        </w:drawing>
      </w:r>
    </w:p>
    <w:p w14:paraId="1EDFFA09" w14:textId="44FF7EDA" w:rsidR="00FC2903" w:rsidRPr="00E16F32" w:rsidRDefault="00E16F32" w:rsidP="00E16F32">
      <w:pPr>
        <w:spacing w:before="120" w:line="276" w:lineRule="auto"/>
        <w:ind w:left="2552" w:right="1134" w:hanging="1418"/>
        <w:jc w:val="both"/>
        <w:rPr>
          <w:bCs/>
          <w:color w:val="000000" w:themeColor="text1"/>
          <w:sz w:val="18"/>
          <w:szCs w:val="18"/>
        </w:rPr>
      </w:pPr>
      <w:bookmarkStart w:id="61" w:name="_Ref110337946"/>
      <w:r w:rsidRPr="00E16F32">
        <w:rPr>
          <w:b/>
          <w:color w:val="007AAE"/>
          <w:sz w:val="18"/>
          <w:szCs w:val="18"/>
        </w:rPr>
        <w:t xml:space="preserve">Figure </w:t>
      </w:r>
      <w:r w:rsidRPr="00E16F32">
        <w:rPr>
          <w:b/>
          <w:color w:val="007AAE"/>
          <w:sz w:val="18"/>
          <w:szCs w:val="18"/>
        </w:rPr>
        <w:fldChar w:fldCharType="begin"/>
      </w:r>
      <w:r w:rsidRPr="00E16F32">
        <w:rPr>
          <w:b/>
          <w:color w:val="007AAE"/>
          <w:sz w:val="18"/>
          <w:szCs w:val="18"/>
        </w:rPr>
        <w:instrText xml:space="preserve"> SEQ Figure \* ARABIC </w:instrText>
      </w:r>
      <w:r w:rsidRPr="00E16F32">
        <w:rPr>
          <w:b/>
          <w:color w:val="007AAE"/>
          <w:sz w:val="18"/>
          <w:szCs w:val="18"/>
        </w:rPr>
        <w:fldChar w:fldCharType="separate"/>
      </w:r>
      <w:r w:rsidR="00EF1E54">
        <w:rPr>
          <w:b/>
          <w:noProof/>
          <w:color w:val="007AAE"/>
          <w:sz w:val="18"/>
          <w:szCs w:val="18"/>
        </w:rPr>
        <w:t>15</w:t>
      </w:r>
      <w:r w:rsidRPr="00E16F32">
        <w:rPr>
          <w:b/>
          <w:color w:val="007AAE"/>
          <w:sz w:val="18"/>
          <w:szCs w:val="18"/>
        </w:rPr>
        <w:fldChar w:fldCharType="end"/>
      </w:r>
      <w:bookmarkEnd w:id="61"/>
      <w:r>
        <w:rPr>
          <w:b/>
          <w:color w:val="007AAE"/>
          <w:sz w:val="18"/>
          <w:szCs w:val="18"/>
        </w:rPr>
        <w:t xml:space="preserve"> - </w:t>
      </w:r>
      <w:r w:rsidRPr="00E16F32">
        <w:rPr>
          <w:bCs/>
          <w:color w:val="000000" w:themeColor="text1"/>
          <w:sz w:val="18"/>
          <w:szCs w:val="18"/>
        </w:rPr>
        <w:t>Measurement deviation of an 8” (top) and a 6” (bottom) ultrasonic meter as a function of Reynolds number for natural gas and hydrogen-enriched natural gas.</w:t>
      </w:r>
    </w:p>
    <w:p w14:paraId="1595F3DB" w14:textId="37DCF843" w:rsidR="0038242C" w:rsidRPr="001E0DD6" w:rsidRDefault="00E95A23" w:rsidP="00E95A23">
      <w:pPr>
        <w:pStyle w:val="Heading4"/>
      </w:pPr>
      <w:r>
        <w:t xml:space="preserve">5.2.1.3 </w:t>
      </w:r>
      <w:r w:rsidR="0038242C">
        <w:t xml:space="preserve">ROTARY METERS </w:t>
      </w:r>
    </w:p>
    <w:p w14:paraId="5AADDED9" w14:textId="206DA417" w:rsidR="0038242C" w:rsidRPr="0042603A" w:rsidRDefault="0038242C" w:rsidP="00F668C6">
      <w:pPr>
        <w:pStyle w:val="BodyText"/>
        <w:jc w:val="both"/>
        <w:rPr>
          <w:rFonts w:asciiTheme="minorHAnsi" w:hAnsiTheme="minorHAnsi" w:cstheme="minorHAnsi"/>
          <w:sz w:val="20"/>
          <w:szCs w:val="20"/>
          <w:lang w:val="en-US"/>
        </w:rPr>
      </w:pPr>
      <w:r w:rsidRPr="0042603A">
        <w:rPr>
          <w:rFonts w:asciiTheme="minorHAnsi" w:hAnsiTheme="minorHAnsi" w:cstheme="minorHAnsi"/>
          <w:sz w:val="20"/>
          <w:szCs w:val="20"/>
          <w:lang w:val="en-US"/>
        </w:rPr>
        <w:t>In the NewGasMet project</w:t>
      </w:r>
      <w:r w:rsidR="00B74C1D" w:rsidRPr="0042603A">
        <w:rPr>
          <w:rFonts w:asciiTheme="minorHAnsi" w:hAnsiTheme="minorHAnsi" w:cstheme="minorHAnsi"/>
          <w:sz w:val="20"/>
          <w:szCs w:val="20"/>
          <w:lang w:val="en-US"/>
        </w:rPr>
        <w:t xml:space="preserve"> </w:t>
      </w:r>
      <w:r w:rsidR="00B74C1D" w:rsidRPr="0072528A">
        <w:rPr>
          <w:rFonts w:asciiTheme="minorHAnsi" w:hAnsiTheme="minorHAnsi" w:cstheme="minorHAnsi"/>
          <w:b/>
          <w:bCs/>
          <w:color w:val="4472C4" w:themeColor="accent1"/>
          <w:sz w:val="20"/>
          <w:szCs w:val="20"/>
          <w:lang w:val="en-US"/>
        </w:rPr>
        <w:t>[35]</w:t>
      </w:r>
      <w:r w:rsidRPr="0072528A">
        <w:rPr>
          <w:rFonts w:asciiTheme="minorHAnsi" w:hAnsiTheme="minorHAnsi" w:cstheme="minorHAnsi"/>
          <w:color w:val="4472C4" w:themeColor="accent1"/>
          <w:sz w:val="20"/>
          <w:szCs w:val="20"/>
          <w:lang w:val="en-US"/>
        </w:rPr>
        <w:t xml:space="preserve"> </w:t>
      </w:r>
      <w:r w:rsidRPr="0042603A">
        <w:rPr>
          <w:rFonts w:asciiTheme="minorHAnsi" w:hAnsiTheme="minorHAnsi" w:cstheme="minorHAnsi"/>
          <w:sz w:val="20"/>
          <w:szCs w:val="20"/>
          <w:lang w:val="en-US"/>
        </w:rPr>
        <w:t>a G100 rotary meter was tested with hydrogen enriched natural gas up to 15</w:t>
      </w:r>
      <w:r w:rsidR="0072661A">
        <w:rPr>
          <w:rFonts w:asciiTheme="minorHAnsi" w:hAnsiTheme="minorHAnsi" w:cstheme="minorHAnsi"/>
          <w:sz w:val="20"/>
          <w:szCs w:val="20"/>
          <w:lang w:val="en-US"/>
        </w:rPr>
        <w:t xml:space="preserve"> </w:t>
      </w:r>
      <w:r w:rsidRPr="0042603A">
        <w:rPr>
          <w:rFonts w:asciiTheme="minorHAnsi" w:hAnsiTheme="minorHAnsi" w:cstheme="minorHAnsi"/>
          <w:sz w:val="20"/>
          <w:szCs w:val="20"/>
          <w:lang w:val="en-US"/>
        </w:rPr>
        <w:t xml:space="preserve">% hydrogen. The difference observed between </w:t>
      </w:r>
      <w:r w:rsidR="00837A42">
        <w:rPr>
          <w:rFonts w:asciiTheme="minorHAnsi" w:hAnsiTheme="minorHAnsi" w:cstheme="minorHAnsi"/>
          <w:sz w:val="20"/>
          <w:szCs w:val="20"/>
          <w:lang w:val="en-US"/>
        </w:rPr>
        <w:t xml:space="preserve">natural gas and hydrogen enriched natural gas </w:t>
      </w:r>
      <w:r w:rsidRPr="0042603A">
        <w:rPr>
          <w:rFonts w:asciiTheme="minorHAnsi" w:hAnsiTheme="minorHAnsi" w:cstheme="minorHAnsi"/>
          <w:sz w:val="20"/>
          <w:szCs w:val="20"/>
          <w:lang w:val="en-US"/>
        </w:rPr>
        <w:t>were typically well within 0.15</w:t>
      </w:r>
      <w:r w:rsidR="0072661A">
        <w:rPr>
          <w:rFonts w:asciiTheme="minorHAnsi" w:hAnsiTheme="minorHAnsi" w:cstheme="minorHAnsi"/>
          <w:sz w:val="20"/>
          <w:szCs w:val="20"/>
          <w:lang w:val="en-US"/>
        </w:rPr>
        <w:t xml:space="preserve"> </w:t>
      </w:r>
      <w:r w:rsidRPr="0042603A">
        <w:rPr>
          <w:rFonts w:asciiTheme="minorHAnsi" w:hAnsiTheme="minorHAnsi" w:cstheme="minorHAnsi"/>
          <w:sz w:val="20"/>
          <w:szCs w:val="20"/>
          <w:lang w:val="en-US"/>
        </w:rPr>
        <w:t>%, see</w:t>
      </w:r>
      <w:r w:rsidR="00AA3E4E" w:rsidRPr="0042603A">
        <w:rPr>
          <w:rFonts w:asciiTheme="minorHAnsi" w:hAnsiTheme="minorHAnsi" w:cstheme="minorHAnsi"/>
          <w:sz w:val="20"/>
          <w:szCs w:val="20"/>
          <w:lang w:val="en-US"/>
        </w:rPr>
        <w:t xml:space="preserve"> </w:t>
      </w:r>
      <w:r w:rsidR="00AA3E4E" w:rsidRPr="0042603A">
        <w:rPr>
          <w:rFonts w:asciiTheme="minorHAnsi" w:hAnsiTheme="minorHAnsi" w:cstheme="minorHAnsi"/>
          <w:sz w:val="20"/>
          <w:szCs w:val="20"/>
          <w:lang w:val="en-US"/>
        </w:rPr>
        <w:fldChar w:fldCharType="begin"/>
      </w:r>
      <w:r w:rsidR="00AA3E4E" w:rsidRPr="0042603A">
        <w:rPr>
          <w:rFonts w:asciiTheme="minorHAnsi" w:hAnsiTheme="minorHAnsi" w:cstheme="minorHAnsi"/>
          <w:sz w:val="20"/>
          <w:szCs w:val="20"/>
          <w:lang w:val="en-US"/>
        </w:rPr>
        <w:instrText xml:space="preserve"> REF _Ref110337960 \h </w:instrText>
      </w:r>
      <w:r w:rsidR="0042603A" w:rsidRPr="0042603A">
        <w:rPr>
          <w:rFonts w:asciiTheme="minorHAnsi" w:hAnsiTheme="minorHAnsi" w:cstheme="minorHAnsi"/>
          <w:sz w:val="20"/>
          <w:szCs w:val="20"/>
          <w:lang w:val="en-US"/>
        </w:rPr>
        <w:instrText xml:space="preserve"> \* MERGEFORMAT </w:instrText>
      </w:r>
      <w:r w:rsidR="00AA3E4E" w:rsidRPr="0042603A">
        <w:rPr>
          <w:rFonts w:asciiTheme="minorHAnsi" w:hAnsiTheme="minorHAnsi" w:cstheme="minorHAnsi"/>
          <w:sz w:val="20"/>
          <w:szCs w:val="20"/>
          <w:lang w:val="en-US"/>
        </w:rPr>
      </w:r>
      <w:r w:rsidR="00AA3E4E" w:rsidRPr="0042603A">
        <w:rPr>
          <w:rFonts w:asciiTheme="minorHAnsi" w:hAnsiTheme="minorHAnsi" w:cstheme="minorHAnsi"/>
          <w:sz w:val="20"/>
          <w:szCs w:val="20"/>
          <w:lang w:val="en-US"/>
        </w:rPr>
        <w:fldChar w:fldCharType="separate"/>
      </w:r>
      <w:r w:rsidR="00AA3E4E" w:rsidRPr="0042603A">
        <w:rPr>
          <w:rFonts w:asciiTheme="minorHAnsi" w:hAnsiTheme="minorHAnsi" w:cstheme="minorHAnsi"/>
          <w:b/>
          <w:color w:val="007AAE"/>
          <w:sz w:val="20"/>
          <w:szCs w:val="20"/>
        </w:rPr>
        <w:t xml:space="preserve">Figure </w:t>
      </w:r>
      <w:r w:rsidR="00AA3E4E" w:rsidRPr="0042603A">
        <w:rPr>
          <w:rFonts w:asciiTheme="minorHAnsi" w:hAnsiTheme="minorHAnsi" w:cstheme="minorHAnsi"/>
          <w:b/>
          <w:noProof/>
          <w:color w:val="007AAE"/>
          <w:sz w:val="20"/>
          <w:szCs w:val="20"/>
        </w:rPr>
        <w:t>16</w:t>
      </w:r>
      <w:r w:rsidR="00AA3E4E" w:rsidRPr="0042603A">
        <w:rPr>
          <w:rFonts w:asciiTheme="minorHAnsi" w:hAnsiTheme="minorHAnsi" w:cstheme="minorHAnsi"/>
          <w:sz w:val="20"/>
          <w:szCs w:val="20"/>
          <w:lang w:val="en-US"/>
        </w:rPr>
        <w:fldChar w:fldCharType="end"/>
      </w:r>
      <w:r w:rsidRPr="0042603A">
        <w:rPr>
          <w:rFonts w:asciiTheme="minorHAnsi" w:hAnsiTheme="minorHAnsi" w:cstheme="minorHAnsi"/>
          <w:sz w:val="20"/>
          <w:szCs w:val="20"/>
          <w:lang w:val="en-US"/>
        </w:rPr>
        <w:t xml:space="preserve">. </w:t>
      </w:r>
    </w:p>
    <w:p w14:paraId="3B94B0A1" w14:textId="77777777" w:rsidR="00E405D4" w:rsidRDefault="0038242C" w:rsidP="00E405D4">
      <w:pPr>
        <w:pStyle w:val="BodyText"/>
        <w:keepNext/>
        <w:jc w:val="both"/>
      </w:pPr>
      <w:r>
        <w:rPr>
          <w:noProof/>
          <w:lang w:val="en-US"/>
        </w:rPr>
        <w:lastRenderedPageBreak/>
        <w:drawing>
          <wp:inline distT="0" distB="0" distL="0" distR="0" wp14:anchorId="1E91CE8E" wp14:editId="46C9E10A">
            <wp:extent cx="4676775" cy="3810000"/>
            <wp:effectExtent l="0" t="0" r="952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76775" cy="3810000"/>
                    </a:xfrm>
                    <a:prstGeom prst="rect">
                      <a:avLst/>
                    </a:prstGeom>
                    <a:noFill/>
                    <a:ln>
                      <a:noFill/>
                    </a:ln>
                  </pic:spPr>
                </pic:pic>
              </a:graphicData>
            </a:graphic>
          </wp:inline>
        </w:drawing>
      </w:r>
    </w:p>
    <w:p w14:paraId="5B4B0CB0" w14:textId="0EDE380B" w:rsidR="0038242C" w:rsidRPr="00E405D4" w:rsidRDefault="00E405D4" w:rsidP="00E405D4">
      <w:pPr>
        <w:spacing w:before="120" w:line="276" w:lineRule="auto"/>
        <w:ind w:left="2552" w:right="1134" w:hanging="1418"/>
        <w:jc w:val="both"/>
        <w:rPr>
          <w:bCs/>
          <w:color w:val="000000" w:themeColor="text1"/>
          <w:sz w:val="18"/>
          <w:szCs w:val="18"/>
        </w:rPr>
      </w:pPr>
      <w:bookmarkStart w:id="62" w:name="_Ref110337960"/>
      <w:r w:rsidRPr="00E405D4">
        <w:rPr>
          <w:b/>
          <w:color w:val="007AAE"/>
          <w:sz w:val="18"/>
          <w:szCs w:val="18"/>
        </w:rPr>
        <w:t xml:space="preserve">Figure </w:t>
      </w:r>
      <w:r w:rsidRPr="00E405D4">
        <w:rPr>
          <w:b/>
          <w:color w:val="007AAE"/>
          <w:sz w:val="18"/>
          <w:szCs w:val="18"/>
        </w:rPr>
        <w:fldChar w:fldCharType="begin"/>
      </w:r>
      <w:r w:rsidRPr="00E405D4">
        <w:rPr>
          <w:b/>
          <w:color w:val="007AAE"/>
          <w:sz w:val="18"/>
          <w:szCs w:val="18"/>
        </w:rPr>
        <w:instrText xml:space="preserve"> SEQ Figure \* ARABIC </w:instrText>
      </w:r>
      <w:r w:rsidRPr="00E405D4">
        <w:rPr>
          <w:b/>
          <w:color w:val="007AAE"/>
          <w:sz w:val="18"/>
          <w:szCs w:val="18"/>
        </w:rPr>
        <w:fldChar w:fldCharType="separate"/>
      </w:r>
      <w:r w:rsidR="00EF1E54">
        <w:rPr>
          <w:b/>
          <w:noProof/>
          <w:color w:val="007AAE"/>
          <w:sz w:val="18"/>
          <w:szCs w:val="18"/>
        </w:rPr>
        <w:t>16</w:t>
      </w:r>
      <w:r w:rsidRPr="00E405D4">
        <w:rPr>
          <w:b/>
          <w:color w:val="007AAE"/>
          <w:sz w:val="18"/>
          <w:szCs w:val="18"/>
        </w:rPr>
        <w:fldChar w:fldCharType="end"/>
      </w:r>
      <w:bookmarkEnd w:id="62"/>
      <w:r w:rsidRPr="00E405D4">
        <w:rPr>
          <w:b/>
          <w:color w:val="007AAE"/>
          <w:sz w:val="18"/>
          <w:szCs w:val="18"/>
        </w:rPr>
        <w:t xml:space="preserve"> - </w:t>
      </w:r>
      <w:r w:rsidRPr="00E405D4">
        <w:rPr>
          <w:bCs/>
          <w:color w:val="000000" w:themeColor="text1"/>
          <w:sz w:val="18"/>
          <w:szCs w:val="18"/>
        </w:rPr>
        <w:t>Measurement deviation of a 2”</w:t>
      </w:r>
      <w:r w:rsidR="0072661A">
        <w:rPr>
          <w:bCs/>
          <w:color w:val="000000" w:themeColor="text1"/>
          <w:sz w:val="18"/>
          <w:szCs w:val="18"/>
        </w:rPr>
        <w:t xml:space="preserve"> </w:t>
      </w:r>
      <w:r w:rsidRPr="00E405D4">
        <w:rPr>
          <w:bCs/>
          <w:color w:val="000000" w:themeColor="text1"/>
          <w:sz w:val="18"/>
          <w:szCs w:val="18"/>
        </w:rPr>
        <w:t>G100 rotary meter as a function of flow rate for natural gas (NG) and hydrogen-enriched natural gas (HENG).</w:t>
      </w:r>
    </w:p>
    <w:p w14:paraId="203EE5F5" w14:textId="495EFB05" w:rsidR="0038242C" w:rsidRPr="001E0DD6" w:rsidRDefault="00E95A23" w:rsidP="00E95A23">
      <w:pPr>
        <w:pStyle w:val="Heading4"/>
      </w:pPr>
      <w:r>
        <w:t xml:space="preserve">5.2.1.4 </w:t>
      </w:r>
      <w:r w:rsidR="0038242C">
        <w:t xml:space="preserve">CORIOLIS METERS </w:t>
      </w:r>
    </w:p>
    <w:p w14:paraId="340A968B" w14:textId="77777777" w:rsidR="002D6C8D" w:rsidRDefault="0038242C" w:rsidP="00F668C6">
      <w:pPr>
        <w:pStyle w:val="BodyText"/>
        <w:jc w:val="both"/>
        <w:rPr>
          <w:rFonts w:asciiTheme="minorHAnsi" w:hAnsiTheme="minorHAnsi" w:cstheme="minorHAnsi"/>
          <w:sz w:val="20"/>
          <w:szCs w:val="20"/>
          <w:lang w:val="en-US"/>
        </w:rPr>
      </w:pPr>
      <w:r w:rsidRPr="0042603A">
        <w:rPr>
          <w:rFonts w:asciiTheme="minorHAnsi" w:hAnsiTheme="minorHAnsi" w:cstheme="minorHAnsi"/>
          <w:sz w:val="20"/>
          <w:szCs w:val="20"/>
          <w:lang w:val="en-US"/>
        </w:rPr>
        <w:t xml:space="preserve">For the application of Coriolis </w:t>
      </w:r>
      <w:r w:rsidR="002D6C8D">
        <w:rPr>
          <w:rFonts w:asciiTheme="minorHAnsi" w:hAnsiTheme="minorHAnsi" w:cstheme="minorHAnsi"/>
          <w:sz w:val="20"/>
          <w:szCs w:val="20"/>
          <w:lang w:val="en-US"/>
        </w:rPr>
        <w:t xml:space="preserve">meters </w:t>
      </w:r>
      <w:r w:rsidRPr="0042603A">
        <w:rPr>
          <w:rFonts w:asciiTheme="minorHAnsi" w:hAnsiTheme="minorHAnsi" w:cstheme="minorHAnsi"/>
          <w:sz w:val="20"/>
          <w:szCs w:val="20"/>
          <w:lang w:val="en-US"/>
        </w:rPr>
        <w:t xml:space="preserve">to different gas mixtures under different pressures, two corrections are required: </w:t>
      </w:r>
    </w:p>
    <w:p w14:paraId="6190F163" w14:textId="77777777" w:rsidR="002D6C8D" w:rsidRDefault="0038242C" w:rsidP="002D6C8D">
      <w:pPr>
        <w:pStyle w:val="BodyText"/>
        <w:numPr>
          <w:ilvl w:val="0"/>
          <w:numId w:val="17"/>
        </w:numPr>
        <w:jc w:val="both"/>
        <w:rPr>
          <w:rFonts w:asciiTheme="minorHAnsi" w:hAnsiTheme="minorHAnsi" w:cstheme="minorHAnsi"/>
          <w:sz w:val="20"/>
          <w:szCs w:val="20"/>
          <w:lang w:val="en-US"/>
        </w:rPr>
      </w:pPr>
      <w:r w:rsidRPr="0042603A">
        <w:rPr>
          <w:rFonts w:asciiTheme="minorHAnsi" w:hAnsiTheme="minorHAnsi" w:cstheme="minorHAnsi"/>
          <w:sz w:val="20"/>
          <w:szCs w:val="20"/>
          <w:lang w:val="en-US"/>
        </w:rPr>
        <w:t xml:space="preserve">a pressure correction (which is related to the mechanical load the pressure induces on the tubes) </w:t>
      </w:r>
    </w:p>
    <w:p w14:paraId="7FD6CF80" w14:textId="77777777" w:rsidR="002D6C8D" w:rsidRDefault="0038242C" w:rsidP="002D6C8D">
      <w:pPr>
        <w:pStyle w:val="BodyText"/>
        <w:numPr>
          <w:ilvl w:val="0"/>
          <w:numId w:val="17"/>
        </w:numPr>
        <w:jc w:val="both"/>
        <w:rPr>
          <w:rFonts w:asciiTheme="minorHAnsi" w:hAnsiTheme="minorHAnsi" w:cstheme="minorHAnsi"/>
          <w:sz w:val="20"/>
          <w:szCs w:val="20"/>
          <w:lang w:val="en-US"/>
        </w:rPr>
      </w:pPr>
      <w:r w:rsidRPr="0042603A">
        <w:rPr>
          <w:rFonts w:asciiTheme="minorHAnsi" w:hAnsiTheme="minorHAnsi" w:cstheme="minorHAnsi"/>
          <w:sz w:val="20"/>
          <w:szCs w:val="20"/>
          <w:lang w:val="en-US"/>
        </w:rPr>
        <w:t xml:space="preserve">a speed of sound correction (which is related to the compressibility of the medium in the tubes). </w:t>
      </w:r>
    </w:p>
    <w:p w14:paraId="282A868A" w14:textId="2D2908DA" w:rsidR="0038242C" w:rsidRPr="0042603A" w:rsidRDefault="0038242C" w:rsidP="002D6C8D">
      <w:pPr>
        <w:pStyle w:val="BodyText"/>
        <w:jc w:val="both"/>
        <w:rPr>
          <w:rFonts w:asciiTheme="minorHAnsi" w:hAnsiTheme="minorHAnsi" w:cstheme="minorHAnsi"/>
          <w:sz w:val="20"/>
          <w:szCs w:val="20"/>
          <w:lang w:val="en-US"/>
        </w:rPr>
      </w:pPr>
      <w:r w:rsidRPr="0042603A">
        <w:rPr>
          <w:rFonts w:asciiTheme="minorHAnsi" w:hAnsiTheme="minorHAnsi" w:cstheme="minorHAnsi"/>
          <w:sz w:val="20"/>
          <w:szCs w:val="20"/>
          <w:lang w:val="en-US"/>
        </w:rPr>
        <w:t>For hydrogen-enriched natural gas the speed of sound compensation is typically small (since the medium becomes less compressible), however this may depend on the meter vendor. The pressure compensation is mostly significant and needs to be compensated for.</w:t>
      </w:r>
      <w:r w:rsidR="005B2FD8">
        <w:rPr>
          <w:rFonts w:asciiTheme="minorHAnsi" w:hAnsiTheme="minorHAnsi" w:cstheme="minorHAnsi"/>
          <w:sz w:val="20"/>
          <w:szCs w:val="20"/>
          <w:lang w:val="en-US"/>
        </w:rPr>
        <w:t xml:space="preserve"> </w:t>
      </w:r>
      <w:r w:rsidRPr="0042603A">
        <w:rPr>
          <w:rFonts w:asciiTheme="minorHAnsi" w:hAnsiTheme="minorHAnsi" w:cstheme="minorHAnsi"/>
          <w:sz w:val="20"/>
          <w:szCs w:val="20"/>
          <w:lang w:val="en-US"/>
        </w:rPr>
        <w:t>Once compensated the typically observed results are given in</w:t>
      </w:r>
      <w:r w:rsidR="00AA3E4E" w:rsidRPr="0042603A">
        <w:rPr>
          <w:rFonts w:asciiTheme="minorHAnsi" w:hAnsiTheme="minorHAnsi" w:cstheme="minorHAnsi"/>
          <w:sz w:val="20"/>
          <w:szCs w:val="20"/>
          <w:lang w:val="en-US"/>
        </w:rPr>
        <w:t xml:space="preserve"> </w:t>
      </w:r>
      <w:r w:rsidR="00AA3E4E" w:rsidRPr="0042603A">
        <w:rPr>
          <w:rFonts w:asciiTheme="minorHAnsi" w:hAnsiTheme="minorHAnsi" w:cstheme="minorHAnsi"/>
          <w:sz w:val="20"/>
          <w:szCs w:val="20"/>
          <w:lang w:val="en-US"/>
        </w:rPr>
        <w:fldChar w:fldCharType="begin"/>
      </w:r>
      <w:r w:rsidR="00AA3E4E" w:rsidRPr="0042603A">
        <w:rPr>
          <w:rFonts w:asciiTheme="minorHAnsi" w:hAnsiTheme="minorHAnsi" w:cstheme="minorHAnsi"/>
          <w:sz w:val="20"/>
          <w:szCs w:val="20"/>
          <w:lang w:val="en-US"/>
        </w:rPr>
        <w:instrText xml:space="preserve"> REF _Ref110337987 \h </w:instrText>
      </w:r>
      <w:r w:rsidR="0042603A" w:rsidRPr="0042603A">
        <w:rPr>
          <w:rFonts w:asciiTheme="minorHAnsi" w:hAnsiTheme="minorHAnsi" w:cstheme="minorHAnsi"/>
          <w:sz w:val="20"/>
          <w:szCs w:val="20"/>
          <w:lang w:val="en-US"/>
        </w:rPr>
        <w:instrText xml:space="preserve"> \* MERGEFORMAT </w:instrText>
      </w:r>
      <w:r w:rsidR="00AA3E4E" w:rsidRPr="0042603A">
        <w:rPr>
          <w:rFonts w:asciiTheme="minorHAnsi" w:hAnsiTheme="minorHAnsi" w:cstheme="minorHAnsi"/>
          <w:sz w:val="20"/>
          <w:szCs w:val="20"/>
          <w:lang w:val="en-US"/>
        </w:rPr>
      </w:r>
      <w:r w:rsidR="00AA3E4E" w:rsidRPr="0042603A">
        <w:rPr>
          <w:rFonts w:asciiTheme="minorHAnsi" w:hAnsiTheme="minorHAnsi" w:cstheme="minorHAnsi"/>
          <w:sz w:val="20"/>
          <w:szCs w:val="20"/>
          <w:lang w:val="en-US"/>
        </w:rPr>
        <w:fldChar w:fldCharType="separate"/>
      </w:r>
      <w:r w:rsidR="00AA3E4E" w:rsidRPr="0042603A">
        <w:rPr>
          <w:rFonts w:asciiTheme="minorHAnsi" w:hAnsiTheme="minorHAnsi" w:cstheme="minorHAnsi"/>
          <w:b/>
          <w:color w:val="007AAE"/>
          <w:sz w:val="20"/>
          <w:szCs w:val="20"/>
        </w:rPr>
        <w:t xml:space="preserve">Figure </w:t>
      </w:r>
      <w:r w:rsidR="00AA3E4E" w:rsidRPr="0042603A">
        <w:rPr>
          <w:rFonts w:asciiTheme="minorHAnsi" w:hAnsiTheme="minorHAnsi" w:cstheme="minorHAnsi"/>
          <w:b/>
          <w:noProof/>
          <w:color w:val="007AAE"/>
          <w:sz w:val="20"/>
          <w:szCs w:val="20"/>
        </w:rPr>
        <w:t>17</w:t>
      </w:r>
      <w:r w:rsidR="00AA3E4E" w:rsidRPr="0042603A">
        <w:rPr>
          <w:rFonts w:asciiTheme="minorHAnsi" w:hAnsiTheme="minorHAnsi" w:cstheme="minorHAnsi"/>
          <w:sz w:val="20"/>
          <w:szCs w:val="20"/>
          <w:lang w:val="en-US"/>
        </w:rPr>
        <w:fldChar w:fldCharType="end"/>
      </w:r>
      <w:r w:rsidRPr="0042603A">
        <w:rPr>
          <w:rFonts w:asciiTheme="minorHAnsi" w:hAnsiTheme="minorHAnsi" w:cstheme="minorHAnsi"/>
          <w:sz w:val="20"/>
          <w:szCs w:val="20"/>
          <w:lang w:val="en-US"/>
        </w:rPr>
        <w:t>. No significant trends are observed between the datasets. In general</w:t>
      </w:r>
      <w:r w:rsidR="005B2FD8">
        <w:rPr>
          <w:rFonts w:asciiTheme="minorHAnsi" w:hAnsiTheme="minorHAnsi" w:cstheme="minorHAnsi"/>
          <w:sz w:val="20"/>
          <w:szCs w:val="20"/>
          <w:lang w:val="en-US"/>
        </w:rPr>
        <w:t>,</w:t>
      </w:r>
      <w:r w:rsidRPr="0042603A">
        <w:rPr>
          <w:rFonts w:asciiTheme="minorHAnsi" w:hAnsiTheme="minorHAnsi" w:cstheme="minorHAnsi"/>
          <w:sz w:val="20"/>
          <w:szCs w:val="20"/>
          <w:lang w:val="en-US"/>
        </w:rPr>
        <w:t xml:space="preserve"> the Coriolis meter repeats very well.</w:t>
      </w:r>
    </w:p>
    <w:p w14:paraId="2BEF1E4B" w14:textId="77777777" w:rsidR="00E405D4" w:rsidRDefault="0038242C" w:rsidP="00AA3E4E">
      <w:pPr>
        <w:pStyle w:val="BodyText"/>
        <w:keepNext/>
        <w:jc w:val="center"/>
      </w:pPr>
      <w:r>
        <w:rPr>
          <w:noProof/>
          <w:lang w:val="en-US"/>
        </w:rPr>
        <w:lastRenderedPageBreak/>
        <w:drawing>
          <wp:inline distT="0" distB="0" distL="0" distR="0" wp14:anchorId="674DA11B" wp14:editId="168BBB40">
            <wp:extent cx="5731510" cy="3352800"/>
            <wp:effectExtent l="0" t="0" r="254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1510" cy="3352800"/>
                    </a:xfrm>
                    <a:prstGeom prst="rect">
                      <a:avLst/>
                    </a:prstGeom>
                    <a:noFill/>
                    <a:ln>
                      <a:noFill/>
                    </a:ln>
                  </pic:spPr>
                </pic:pic>
              </a:graphicData>
            </a:graphic>
          </wp:inline>
        </w:drawing>
      </w:r>
    </w:p>
    <w:p w14:paraId="7EAEE9F7" w14:textId="746B4DB1" w:rsidR="0038242C" w:rsidRPr="0042603A" w:rsidRDefault="00E405D4" w:rsidP="0042603A">
      <w:pPr>
        <w:spacing w:before="120" w:line="276" w:lineRule="auto"/>
        <w:ind w:left="2552" w:right="1134" w:hanging="1418"/>
        <w:jc w:val="both"/>
        <w:rPr>
          <w:bCs/>
          <w:color w:val="000000" w:themeColor="text1"/>
          <w:sz w:val="18"/>
          <w:szCs w:val="18"/>
        </w:rPr>
      </w:pPr>
      <w:bookmarkStart w:id="63" w:name="_Ref110337987"/>
      <w:r w:rsidRPr="00E405D4">
        <w:rPr>
          <w:b/>
          <w:color w:val="007AAE"/>
          <w:sz w:val="18"/>
          <w:szCs w:val="18"/>
        </w:rPr>
        <w:t xml:space="preserve">Figure </w:t>
      </w:r>
      <w:r w:rsidRPr="00E405D4">
        <w:rPr>
          <w:b/>
          <w:color w:val="007AAE"/>
          <w:sz w:val="18"/>
          <w:szCs w:val="18"/>
        </w:rPr>
        <w:fldChar w:fldCharType="begin"/>
      </w:r>
      <w:r w:rsidRPr="00E405D4">
        <w:rPr>
          <w:b/>
          <w:color w:val="007AAE"/>
          <w:sz w:val="18"/>
          <w:szCs w:val="18"/>
        </w:rPr>
        <w:instrText xml:space="preserve"> SEQ Figure \* ARABIC </w:instrText>
      </w:r>
      <w:r w:rsidRPr="00E405D4">
        <w:rPr>
          <w:b/>
          <w:color w:val="007AAE"/>
          <w:sz w:val="18"/>
          <w:szCs w:val="18"/>
        </w:rPr>
        <w:fldChar w:fldCharType="separate"/>
      </w:r>
      <w:r w:rsidR="00EF1E54">
        <w:rPr>
          <w:b/>
          <w:noProof/>
          <w:color w:val="007AAE"/>
          <w:sz w:val="18"/>
          <w:szCs w:val="18"/>
        </w:rPr>
        <w:t>17</w:t>
      </w:r>
      <w:r w:rsidRPr="00E405D4">
        <w:rPr>
          <w:b/>
          <w:color w:val="007AAE"/>
          <w:sz w:val="18"/>
          <w:szCs w:val="18"/>
        </w:rPr>
        <w:fldChar w:fldCharType="end"/>
      </w:r>
      <w:bookmarkEnd w:id="63"/>
      <w:r w:rsidRPr="00E405D4">
        <w:rPr>
          <w:b/>
          <w:color w:val="007AAE"/>
          <w:sz w:val="18"/>
          <w:szCs w:val="18"/>
        </w:rPr>
        <w:t xml:space="preserve"> - </w:t>
      </w:r>
      <w:r w:rsidRPr="00E405D4">
        <w:rPr>
          <w:bCs/>
          <w:color w:val="000000" w:themeColor="text1"/>
          <w:sz w:val="18"/>
          <w:szCs w:val="18"/>
        </w:rPr>
        <w:t xml:space="preserve">Measurement deviation of an </w:t>
      </w:r>
      <w:proofErr w:type="gramStart"/>
      <w:r w:rsidRPr="00E405D4">
        <w:rPr>
          <w:bCs/>
          <w:color w:val="000000" w:themeColor="text1"/>
          <w:sz w:val="18"/>
          <w:szCs w:val="18"/>
        </w:rPr>
        <w:t>3“ Coriolis</w:t>
      </w:r>
      <w:proofErr w:type="gramEnd"/>
      <w:r w:rsidRPr="00E405D4">
        <w:rPr>
          <w:bCs/>
          <w:color w:val="000000" w:themeColor="text1"/>
          <w:sz w:val="18"/>
          <w:szCs w:val="18"/>
        </w:rPr>
        <w:t xml:space="preserve"> meter as a function of flow rate for natural gas and hydrogen-enriched natural gas.</w:t>
      </w:r>
    </w:p>
    <w:p w14:paraId="77486B19" w14:textId="73780928" w:rsidR="00FC2903" w:rsidRDefault="00554683" w:rsidP="00F668C6">
      <w:pPr>
        <w:pStyle w:val="Heading3"/>
        <w:jc w:val="both"/>
      </w:pPr>
      <w:bookmarkStart w:id="64" w:name="_Toc121830951"/>
      <w:r>
        <w:t>5.2.</w:t>
      </w:r>
      <w:r w:rsidR="00E95A23">
        <w:t>2</w:t>
      </w:r>
      <w:r>
        <w:t xml:space="preserve"> DOMESTIC FLOW METERS</w:t>
      </w:r>
      <w:bookmarkEnd w:id="64"/>
      <w:r>
        <w:t xml:space="preserve"> </w:t>
      </w:r>
    </w:p>
    <w:p w14:paraId="1E096178" w14:textId="4C43E740" w:rsidR="00EF1E54" w:rsidRPr="0042603A" w:rsidRDefault="00EF1E54" w:rsidP="00A32C2B">
      <w:pPr>
        <w:pStyle w:val="BodyText"/>
        <w:jc w:val="both"/>
        <w:rPr>
          <w:rFonts w:asciiTheme="minorHAnsi" w:hAnsiTheme="minorHAnsi" w:cstheme="minorHAnsi"/>
          <w:sz w:val="20"/>
          <w:szCs w:val="20"/>
          <w:lang w:val="en-US"/>
        </w:rPr>
      </w:pPr>
      <w:r w:rsidRPr="0042603A">
        <w:rPr>
          <w:rFonts w:asciiTheme="minorHAnsi" w:hAnsiTheme="minorHAnsi" w:cstheme="minorHAnsi"/>
          <w:sz w:val="20"/>
          <w:szCs w:val="20"/>
          <w:lang w:val="en-US"/>
        </w:rPr>
        <w:t>A recent study performed at NEL</w:t>
      </w:r>
      <w:r w:rsidR="002B0DD2">
        <w:rPr>
          <w:rFonts w:asciiTheme="minorHAnsi" w:hAnsiTheme="minorHAnsi" w:cstheme="minorHAnsi"/>
          <w:sz w:val="20"/>
          <w:szCs w:val="20"/>
          <w:lang w:val="en-US"/>
        </w:rPr>
        <w:t xml:space="preserve"> in 2021</w:t>
      </w:r>
      <w:r w:rsidRPr="0042603A">
        <w:rPr>
          <w:rFonts w:asciiTheme="minorHAnsi" w:hAnsiTheme="minorHAnsi" w:cstheme="minorHAnsi"/>
          <w:sz w:val="20"/>
          <w:szCs w:val="20"/>
          <w:lang w:val="en-US"/>
        </w:rPr>
        <w:t>, see</w:t>
      </w:r>
      <w:r w:rsidR="00B74C1D" w:rsidRPr="0042603A">
        <w:rPr>
          <w:rFonts w:asciiTheme="minorHAnsi" w:hAnsiTheme="minorHAnsi" w:cstheme="minorHAnsi"/>
          <w:sz w:val="20"/>
          <w:szCs w:val="20"/>
          <w:lang w:val="en-US"/>
        </w:rPr>
        <w:t xml:space="preserve"> </w:t>
      </w:r>
      <w:r w:rsidR="00B74C1D" w:rsidRPr="00A32C2B">
        <w:rPr>
          <w:rFonts w:asciiTheme="minorHAnsi" w:hAnsiTheme="minorHAnsi" w:cstheme="minorHAnsi"/>
          <w:b/>
          <w:bCs/>
          <w:color w:val="4472C4" w:themeColor="accent1"/>
          <w:sz w:val="20"/>
          <w:szCs w:val="20"/>
          <w:lang w:val="en-US"/>
        </w:rPr>
        <w:t>[31]</w:t>
      </w:r>
      <w:r w:rsidRPr="0042603A">
        <w:rPr>
          <w:rFonts w:asciiTheme="minorHAnsi" w:hAnsiTheme="minorHAnsi" w:cstheme="minorHAnsi"/>
          <w:sz w:val="20"/>
          <w:szCs w:val="20"/>
          <w:lang w:val="en-US"/>
        </w:rPr>
        <w:t xml:space="preserve">, investigated the response of domestic meters </w:t>
      </w:r>
      <w:r w:rsidR="00A32C2B">
        <w:rPr>
          <w:rFonts w:asciiTheme="minorHAnsi" w:hAnsiTheme="minorHAnsi" w:cstheme="minorHAnsi"/>
          <w:sz w:val="20"/>
          <w:szCs w:val="20"/>
          <w:lang w:val="en-US"/>
        </w:rPr>
        <w:t xml:space="preserve">to </w:t>
      </w:r>
      <w:r w:rsidRPr="0042603A">
        <w:rPr>
          <w:rFonts w:asciiTheme="minorHAnsi" w:hAnsiTheme="minorHAnsi" w:cstheme="minorHAnsi"/>
          <w:sz w:val="20"/>
          <w:szCs w:val="20"/>
          <w:lang w:val="en-US"/>
        </w:rPr>
        <w:t>methane and mixtures of 80</w:t>
      </w:r>
      <w:r w:rsidR="00A32C2B">
        <w:rPr>
          <w:rFonts w:asciiTheme="minorHAnsi" w:hAnsiTheme="minorHAnsi" w:cstheme="minorHAnsi"/>
          <w:sz w:val="20"/>
          <w:szCs w:val="20"/>
          <w:lang w:val="en-US"/>
        </w:rPr>
        <w:t xml:space="preserve"> </w:t>
      </w:r>
      <w:r w:rsidRPr="0042603A">
        <w:rPr>
          <w:rFonts w:asciiTheme="minorHAnsi" w:hAnsiTheme="minorHAnsi" w:cstheme="minorHAnsi"/>
          <w:sz w:val="20"/>
          <w:szCs w:val="20"/>
          <w:lang w:val="en-US"/>
        </w:rPr>
        <w:t>% methane and 20</w:t>
      </w:r>
      <w:r w:rsidR="00A32C2B">
        <w:rPr>
          <w:rFonts w:asciiTheme="minorHAnsi" w:hAnsiTheme="minorHAnsi" w:cstheme="minorHAnsi"/>
          <w:sz w:val="20"/>
          <w:szCs w:val="20"/>
          <w:lang w:val="en-US"/>
        </w:rPr>
        <w:t xml:space="preserve"> </w:t>
      </w:r>
      <w:r w:rsidRPr="0042603A">
        <w:rPr>
          <w:rFonts w:asciiTheme="minorHAnsi" w:hAnsiTheme="minorHAnsi" w:cstheme="minorHAnsi"/>
          <w:sz w:val="20"/>
          <w:szCs w:val="20"/>
          <w:lang w:val="en-US"/>
        </w:rPr>
        <w:t>% hydrogen. In total 11 diaphragm meters, 5 ultrasonic meters and 2 thermal mass meters were tested. Both new and used meters</w:t>
      </w:r>
      <w:r w:rsidR="005B6DD3">
        <w:rPr>
          <w:rFonts w:asciiTheme="minorHAnsi" w:hAnsiTheme="minorHAnsi" w:cstheme="minorHAnsi"/>
          <w:sz w:val="20"/>
          <w:szCs w:val="20"/>
          <w:lang w:val="en-US"/>
        </w:rPr>
        <w:t xml:space="preserve"> (referred to as </w:t>
      </w:r>
      <w:r w:rsidR="005B6DD3" w:rsidRPr="0042603A">
        <w:rPr>
          <w:rFonts w:asciiTheme="minorHAnsi" w:hAnsiTheme="minorHAnsi" w:cstheme="minorHAnsi"/>
          <w:sz w:val="20"/>
          <w:szCs w:val="20"/>
        </w:rPr>
        <w:t>installed-base</w:t>
      </w:r>
      <w:r w:rsidR="005B6DD3">
        <w:rPr>
          <w:rFonts w:asciiTheme="minorHAnsi" w:hAnsiTheme="minorHAnsi" w:cstheme="minorHAnsi"/>
          <w:sz w:val="20"/>
          <w:szCs w:val="20"/>
        </w:rPr>
        <w:t xml:space="preserve"> meters</w:t>
      </w:r>
      <w:r w:rsidR="005B6DD3">
        <w:rPr>
          <w:rFonts w:asciiTheme="minorHAnsi" w:hAnsiTheme="minorHAnsi" w:cstheme="minorHAnsi"/>
          <w:sz w:val="20"/>
          <w:szCs w:val="20"/>
          <w:lang w:val="en-US"/>
        </w:rPr>
        <w:t>)</w:t>
      </w:r>
      <w:r w:rsidRPr="0042603A">
        <w:rPr>
          <w:rFonts w:asciiTheme="minorHAnsi" w:hAnsiTheme="minorHAnsi" w:cstheme="minorHAnsi"/>
          <w:sz w:val="20"/>
          <w:szCs w:val="20"/>
          <w:lang w:val="en-US"/>
        </w:rPr>
        <w:t xml:space="preserve"> were tested and most of the meters had a </w:t>
      </w:r>
      <w:proofErr w:type="spellStart"/>
      <w:r w:rsidRPr="0042603A">
        <w:rPr>
          <w:rFonts w:asciiTheme="minorHAnsi" w:hAnsiTheme="minorHAnsi" w:cstheme="minorHAnsi"/>
          <w:sz w:val="20"/>
          <w:szCs w:val="20"/>
          <w:lang w:val="en-US"/>
        </w:rPr>
        <w:t>Q</w:t>
      </w:r>
      <w:r w:rsidRPr="0042603A">
        <w:rPr>
          <w:rFonts w:asciiTheme="minorHAnsi" w:hAnsiTheme="minorHAnsi" w:cstheme="minorHAnsi"/>
          <w:sz w:val="20"/>
          <w:szCs w:val="20"/>
          <w:vertAlign w:val="subscript"/>
          <w:lang w:val="en-US"/>
        </w:rPr>
        <w:t>max</w:t>
      </w:r>
      <w:proofErr w:type="spellEnd"/>
      <w:r w:rsidRPr="0042603A">
        <w:rPr>
          <w:rFonts w:asciiTheme="minorHAnsi" w:hAnsiTheme="minorHAnsi" w:cstheme="minorHAnsi"/>
          <w:sz w:val="20"/>
          <w:szCs w:val="20"/>
          <w:lang w:val="en-US"/>
        </w:rPr>
        <w:t xml:space="preserve"> of 6 m</w:t>
      </w:r>
      <w:r w:rsidRPr="0042603A">
        <w:rPr>
          <w:rFonts w:asciiTheme="minorHAnsi" w:hAnsiTheme="minorHAnsi" w:cstheme="minorHAnsi"/>
          <w:sz w:val="20"/>
          <w:szCs w:val="20"/>
          <w:vertAlign w:val="superscript"/>
          <w:lang w:val="en-US"/>
        </w:rPr>
        <w:t>3</w:t>
      </w:r>
      <w:r w:rsidRPr="0042603A">
        <w:rPr>
          <w:rFonts w:asciiTheme="minorHAnsi" w:hAnsiTheme="minorHAnsi" w:cstheme="minorHAnsi"/>
          <w:sz w:val="20"/>
          <w:szCs w:val="20"/>
          <w:lang w:val="en-US"/>
        </w:rPr>
        <w:t xml:space="preserve">/h.  </w:t>
      </w:r>
    </w:p>
    <w:p w14:paraId="05287BE8" w14:textId="4B6E2BB8" w:rsidR="00554683" w:rsidRPr="00554683" w:rsidRDefault="00E95A23" w:rsidP="00E95A23">
      <w:pPr>
        <w:pStyle w:val="Heading4"/>
      </w:pPr>
      <w:r>
        <w:t xml:space="preserve">5.2.2.1 </w:t>
      </w:r>
      <w:r w:rsidR="00554683" w:rsidRPr="00554683">
        <w:t xml:space="preserve">DIAPHRAGM METERS </w:t>
      </w:r>
    </w:p>
    <w:p w14:paraId="702DAA1B" w14:textId="30B7D83B" w:rsidR="00554683" w:rsidRPr="0042603A" w:rsidRDefault="00554683" w:rsidP="00F668C6">
      <w:pPr>
        <w:pStyle w:val="BodyText"/>
        <w:jc w:val="both"/>
        <w:rPr>
          <w:rFonts w:asciiTheme="minorHAnsi" w:hAnsiTheme="minorHAnsi" w:cstheme="minorHAnsi"/>
          <w:sz w:val="20"/>
          <w:szCs w:val="20"/>
          <w:lang w:val="en-US"/>
        </w:rPr>
      </w:pPr>
      <w:r w:rsidRPr="0042603A">
        <w:rPr>
          <w:rFonts w:asciiTheme="minorHAnsi" w:hAnsiTheme="minorHAnsi" w:cstheme="minorHAnsi"/>
          <w:sz w:val="20"/>
          <w:szCs w:val="20"/>
          <w:lang w:val="en-US"/>
        </w:rPr>
        <w:t>As stated in the introduction, 11 meters were tested</w:t>
      </w:r>
      <w:r w:rsidR="00E61423">
        <w:rPr>
          <w:rFonts w:asciiTheme="minorHAnsi" w:hAnsiTheme="minorHAnsi" w:cstheme="minorHAnsi"/>
          <w:sz w:val="20"/>
          <w:szCs w:val="20"/>
          <w:lang w:val="en-US"/>
        </w:rPr>
        <w:t xml:space="preserve"> at NEL</w:t>
      </w:r>
      <w:r w:rsidRPr="0042603A">
        <w:rPr>
          <w:rFonts w:asciiTheme="minorHAnsi" w:hAnsiTheme="minorHAnsi" w:cstheme="minorHAnsi"/>
          <w:sz w:val="20"/>
          <w:szCs w:val="20"/>
          <w:lang w:val="en-US"/>
        </w:rPr>
        <w:t>. A typical result from the group of meters is shown in</w:t>
      </w:r>
      <w:r w:rsidR="00EF1E54" w:rsidRPr="0042603A">
        <w:rPr>
          <w:rFonts w:asciiTheme="minorHAnsi" w:hAnsiTheme="minorHAnsi" w:cstheme="minorHAnsi"/>
          <w:sz w:val="20"/>
          <w:szCs w:val="20"/>
          <w:lang w:val="en-US"/>
        </w:rPr>
        <w:t xml:space="preserve"> </w:t>
      </w:r>
      <w:r w:rsidR="00EF1E54" w:rsidRPr="0042603A">
        <w:rPr>
          <w:rFonts w:asciiTheme="minorHAnsi" w:hAnsiTheme="minorHAnsi" w:cstheme="minorHAnsi"/>
          <w:sz w:val="20"/>
          <w:szCs w:val="20"/>
          <w:lang w:val="en-US"/>
        </w:rPr>
        <w:fldChar w:fldCharType="begin"/>
      </w:r>
      <w:r w:rsidR="00EF1E54" w:rsidRPr="0042603A">
        <w:rPr>
          <w:rFonts w:asciiTheme="minorHAnsi" w:hAnsiTheme="minorHAnsi" w:cstheme="minorHAnsi"/>
          <w:sz w:val="20"/>
          <w:szCs w:val="20"/>
          <w:lang w:val="en-US"/>
        </w:rPr>
        <w:instrText xml:space="preserve"> REF _Ref110338096 \h </w:instrText>
      </w:r>
      <w:r w:rsidR="0042603A" w:rsidRPr="0042603A">
        <w:rPr>
          <w:rFonts w:asciiTheme="minorHAnsi" w:hAnsiTheme="minorHAnsi" w:cstheme="minorHAnsi"/>
          <w:sz w:val="20"/>
          <w:szCs w:val="20"/>
          <w:lang w:val="en-US"/>
        </w:rPr>
        <w:instrText xml:space="preserve"> \* MERGEFORMAT </w:instrText>
      </w:r>
      <w:r w:rsidR="00EF1E54" w:rsidRPr="0042603A">
        <w:rPr>
          <w:rFonts w:asciiTheme="minorHAnsi" w:hAnsiTheme="minorHAnsi" w:cstheme="minorHAnsi"/>
          <w:sz w:val="20"/>
          <w:szCs w:val="20"/>
          <w:lang w:val="en-US"/>
        </w:rPr>
      </w:r>
      <w:r w:rsidR="00EF1E54" w:rsidRPr="0042603A">
        <w:rPr>
          <w:rFonts w:asciiTheme="minorHAnsi" w:hAnsiTheme="minorHAnsi" w:cstheme="minorHAnsi"/>
          <w:sz w:val="20"/>
          <w:szCs w:val="20"/>
          <w:lang w:val="en-US"/>
        </w:rPr>
        <w:fldChar w:fldCharType="separate"/>
      </w:r>
      <w:r w:rsidR="00EF1E54" w:rsidRPr="0042603A">
        <w:rPr>
          <w:rFonts w:asciiTheme="minorHAnsi" w:hAnsiTheme="minorHAnsi" w:cstheme="minorHAnsi"/>
          <w:b/>
          <w:color w:val="007AAE"/>
          <w:sz w:val="20"/>
          <w:szCs w:val="20"/>
        </w:rPr>
        <w:t xml:space="preserve">Figure </w:t>
      </w:r>
      <w:r w:rsidR="00EF1E54" w:rsidRPr="0042603A">
        <w:rPr>
          <w:rFonts w:asciiTheme="minorHAnsi" w:hAnsiTheme="minorHAnsi" w:cstheme="minorHAnsi"/>
          <w:b/>
          <w:noProof/>
          <w:color w:val="007AAE"/>
          <w:sz w:val="20"/>
          <w:szCs w:val="20"/>
        </w:rPr>
        <w:t>18</w:t>
      </w:r>
      <w:r w:rsidR="00EF1E54" w:rsidRPr="0042603A">
        <w:rPr>
          <w:rFonts w:asciiTheme="minorHAnsi" w:hAnsiTheme="minorHAnsi" w:cstheme="minorHAnsi"/>
          <w:sz w:val="20"/>
          <w:szCs w:val="20"/>
          <w:lang w:val="en-US"/>
        </w:rPr>
        <w:fldChar w:fldCharType="end"/>
      </w:r>
      <w:r w:rsidRPr="0042603A">
        <w:rPr>
          <w:rFonts w:asciiTheme="minorHAnsi" w:hAnsiTheme="minorHAnsi" w:cstheme="minorHAnsi"/>
          <w:sz w:val="20"/>
          <w:szCs w:val="20"/>
          <w:lang w:val="en-US"/>
        </w:rPr>
        <w:t>. In most cases</w:t>
      </w:r>
      <w:r w:rsidR="00E61423">
        <w:rPr>
          <w:rFonts w:asciiTheme="minorHAnsi" w:hAnsiTheme="minorHAnsi" w:cstheme="minorHAnsi"/>
          <w:sz w:val="20"/>
          <w:szCs w:val="20"/>
          <w:lang w:val="en-US"/>
        </w:rPr>
        <w:t>,</w:t>
      </w:r>
      <w:r w:rsidRPr="0042603A">
        <w:rPr>
          <w:rFonts w:asciiTheme="minorHAnsi" w:hAnsiTheme="minorHAnsi" w:cstheme="minorHAnsi"/>
          <w:sz w:val="20"/>
          <w:szCs w:val="20"/>
          <w:lang w:val="en-US"/>
        </w:rPr>
        <w:t xml:space="preserve"> differences were observed </w:t>
      </w:r>
      <w:r w:rsidR="00E61423">
        <w:rPr>
          <w:rFonts w:asciiTheme="minorHAnsi" w:hAnsiTheme="minorHAnsi" w:cstheme="minorHAnsi"/>
          <w:sz w:val="20"/>
          <w:szCs w:val="20"/>
          <w:lang w:val="en-US"/>
        </w:rPr>
        <w:t xml:space="preserve">primarily at </w:t>
      </w:r>
      <w:r w:rsidRPr="0042603A">
        <w:rPr>
          <w:rFonts w:asciiTheme="minorHAnsi" w:hAnsiTheme="minorHAnsi" w:cstheme="minorHAnsi"/>
          <w:sz w:val="20"/>
          <w:szCs w:val="20"/>
          <w:lang w:val="en-US"/>
        </w:rPr>
        <w:t xml:space="preserve">low flow rates </w:t>
      </w:r>
      <w:r w:rsidR="00E61423">
        <w:rPr>
          <w:rFonts w:asciiTheme="minorHAnsi" w:hAnsiTheme="minorHAnsi" w:cstheme="minorHAnsi"/>
          <w:sz w:val="20"/>
          <w:szCs w:val="20"/>
          <w:lang w:val="en-US"/>
        </w:rPr>
        <w:t xml:space="preserve">less than </w:t>
      </w:r>
      <w:r w:rsidRPr="0042603A">
        <w:rPr>
          <w:rFonts w:asciiTheme="minorHAnsi" w:hAnsiTheme="minorHAnsi" w:cstheme="minorHAnsi"/>
          <w:sz w:val="20"/>
          <w:szCs w:val="20"/>
          <w:lang w:val="en-US"/>
        </w:rPr>
        <w:t>10</w:t>
      </w:r>
      <w:r w:rsidR="00E61423">
        <w:rPr>
          <w:rFonts w:asciiTheme="minorHAnsi" w:hAnsiTheme="minorHAnsi" w:cstheme="minorHAnsi"/>
          <w:sz w:val="20"/>
          <w:szCs w:val="20"/>
          <w:lang w:val="en-US"/>
        </w:rPr>
        <w:t xml:space="preserve"> </w:t>
      </w:r>
      <w:r w:rsidRPr="0042603A">
        <w:rPr>
          <w:rFonts w:asciiTheme="minorHAnsi" w:hAnsiTheme="minorHAnsi" w:cstheme="minorHAnsi"/>
          <w:sz w:val="20"/>
          <w:szCs w:val="20"/>
          <w:lang w:val="en-US"/>
        </w:rPr>
        <w:t>%</w:t>
      </w:r>
      <w:r w:rsidR="00E61423">
        <w:rPr>
          <w:rFonts w:asciiTheme="minorHAnsi" w:hAnsiTheme="minorHAnsi" w:cstheme="minorHAnsi"/>
          <w:sz w:val="20"/>
          <w:szCs w:val="20"/>
          <w:lang w:val="en-US"/>
        </w:rPr>
        <w:t xml:space="preserve"> of </w:t>
      </w:r>
      <w:proofErr w:type="spellStart"/>
      <w:r w:rsidRPr="0042603A">
        <w:rPr>
          <w:rFonts w:asciiTheme="minorHAnsi" w:hAnsiTheme="minorHAnsi" w:cstheme="minorHAnsi"/>
          <w:sz w:val="20"/>
          <w:szCs w:val="20"/>
          <w:lang w:val="en-US"/>
        </w:rPr>
        <w:t>Qmax</w:t>
      </w:r>
      <w:proofErr w:type="spellEnd"/>
      <w:r w:rsidRPr="0042603A">
        <w:rPr>
          <w:rFonts w:asciiTheme="minorHAnsi" w:hAnsiTheme="minorHAnsi" w:cstheme="minorHAnsi"/>
          <w:sz w:val="20"/>
          <w:szCs w:val="20"/>
          <w:lang w:val="en-US"/>
        </w:rPr>
        <w:t>.</w:t>
      </w:r>
      <w:r w:rsidR="001144A4">
        <w:rPr>
          <w:rFonts w:asciiTheme="minorHAnsi" w:hAnsiTheme="minorHAnsi" w:cstheme="minorHAnsi"/>
          <w:sz w:val="20"/>
          <w:szCs w:val="20"/>
          <w:lang w:val="en-US"/>
        </w:rPr>
        <w:t xml:space="preserve"> However, the overall performance of the meter </w:t>
      </w:r>
      <w:r w:rsidR="00873E23">
        <w:rPr>
          <w:rFonts w:asciiTheme="minorHAnsi" w:hAnsiTheme="minorHAnsi" w:cstheme="minorHAnsi"/>
          <w:sz w:val="20"/>
          <w:szCs w:val="20"/>
          <w:lang w:val="en-US"/>
        </w:rPr>
        <w:t>was</w:t>
      </w:r>
      <w:r w:rsidR="001144A4">
        <w:rPr>
          <w:rFonts w:asciiTheme="minorHAnsi" w:hAnsiTheme="minorHAnsi" w:cstheme="minorHAnsi"/>
          <w:sz w:val="20"/>
          <w:szCs w:val="20"/>
          <w:lang w:val="en-US"/>
        </w:rPr>
        <w:t xml:space="preserve"> found the same for 100 % methane and </w:t>
      </w:r>
      <w:r w:rsidR="00873E23">
        <w:rPr>
          <w:rFonts w:asciiTheme="minorHAnsi" w:hAnsiTheme="minorHAnsi" w:cstheme="minorHAnsi"/>
          <w:sz w:val="20"/>
          <w:szCs w:val="20"/>
          <w:lang w:val="en-US"/>
        </w:rPr>
        <w:t xml:space="preserve">for </w:t>
      </w:r>
      <w:r w:rsidR="001144A4">
        <w:rPr>
          <w:rFonts w:asciiTheme="minorHAnsi" w:hAnsiTheme="minorHAnsi" w:cstheme="minorHAnsi"/>
          <w:sz w:val="20"/>
          <w:szCs w:val="20"/>
          <w:lang w:val="en-US"/>
        </w:rPr>
        <w:t>80 %</w:t>
      </w:r>
      <w:r w:rsidR="00873E23">
        <w:rPr>
          <w:rFonts w:asciiTheme="minorHAnsi" w:hAnsiTheme="minorHAnsi" w:cstheme="minorHAnsi"/>
          <w:sz w:val="20"/>
          <w:szCs w:val="20"/>
          <w:lang w:val="en-US"/>
        </w:rPr>
        <w:t xml:space="preserve"> methane </w:t>
      </w:r>
      <w:r w:rsidR="001144A4">
        <w:rPr>
          <w:rFonts w:asciiTheme="minorHAnsi" w:hAnsiTheme="minorHAnsi" w:cstheme="minorHAnsi"/>
          <w:sz w:val="20"/>
          <w:szCs w:val="20"/>
          <w:lang w:val="en-US"/>
        </w:rPr>
        <w:t xml:space="preserve">/ 20 % </w:t>
      </w:r>
      <w:r w:rsidR="00873E23">
        <w:rPr>
          <w:rFonts w:asciiTheme="minorHAnsi" w:hAnsiTheme="minorHAnsi" w:cstheme="minorHAnsi"/>
          <w:sz w:val="20"/>
          <w:szCs w:val="20"/>
          <w:lang w:val="en-US"/>
        </w:rPr>
        <w:t>h</w:t>
      </w:r>
      <w:r w:rsidR="001144A4">
        <w:rPr>
          <w:rFonts w:asciiTheme="minorHAnsi" w:hAnsiTheme="minorHAnsi" w:cstheme="minorHAnsi"/>
          <w:sz w:val="20"/>
          <w:szCs w:val="20"/>
          <w:lang w:val="en-US"/>
        </w:rPr>
        <w:t xml:space="preserve">ydrogen mixture.  </w:t>
      </w:r>
    </w:p>
    <w:p w14:paraId="5ABCF548" w14:textId="77777777" w:rsidR="00AA3E4E" w:rsidRDefault="00554683" w:rsidP="00AA3E4E">
      <w:pPr>
        <w:pStyle w:val="BodyText"/>
        <w:keepNext/>
        <w:jc w:val="center"/>
      </w:pPr>
      <w:r>
        <w:rPr>
          <w:noProof/>
          <w:lang w:val="en-US"/>
        </w:rPr>
        <w:drawing>
          <wp:inline distT="0" distB="0" distL="0" distR="0" wp14:anchorId="7CE82057" wp14:editId="42FCA20B">
            <wp:extent cx="4080857" cy="2717800"/>
            <wp:effectExtent l="0" t="0" r="0" b="635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87434" cy="2722180"/>
                    </a:xfrm>
                    <a:prstGeom prst="rect">
                      <a:avLst/>
                    </a:prstGeom>
                    <a:noFill/>
                    <a:ln>
                      <a:noFill/>
                    </a:ln>
                  </pic:spPr>
                </pic:pic>
              </a:graphicData>
            </a:graphic>
          </wp:inline>
        </w:drawing>
      </w:r>
    </w:p>
    <w:p w14:paraId="22E3BB6E" w14:textId="7F3083E7" w:rsidR="00554683" w:rsidRPr="00AA3E4E" w:rsidRDefault="00AA3E4E" w:rsidP="00AA3E4E">
      <w:pPr>
        <w:spacing w:before="120" w:line="276" w:lineRule="auto"/>
        <w:ind w:left="2552" w:right="1134" w:hanging="1418"/>
        <w:jc w:val="center"/>
        <w:rPr>
          <w:bCs/>
          <w:color w:val="000000" w:themeColor="text1"/>
          <w:sz w:val="18"/>
          <w:szCs w:val="18"/>
        </w:rPr>
      </w:pPr>
      <w:bookmarkStart w:id="65" w:name="_Ref110338096"/>
      <w:r w:rsidRPr="00AA3E4E">
        <w:rPr>
          <w:b/>
          <w:color w:val="007AAE"/>
          <w:sz w:val="18"/>
          <w:szCs w:val="18"/>
        </w:rPr>
        <w:t xml:space="preserve">Figure </w:t>
      </w:r>
      <w:r w:rsidRPr="00AA3E4E">
        <w:rPr>
          <w:b/>
          <w:color w:val="007AAE"/>
          <w:sz w:val="18"/>
          <w:szCs w:val="18"/>
        </w:rPr>
        <w:fldChar w:fldCharType="begin"/>
      </w:r>
      <w:r w:rsidRPr="00AA3E4E">
        <w:rPr>
          <w:b/>
          <w:color w:val="007AAE"/>
          <w:sz w:val="18"/>
          <w:szCs w:val="18"/>
        </w:rPr>
        <w:instrText xml:space="preserve"> SEQ Figure \* ARABIC </w:instrText>
      </w:r>
      <w:r w:rsidRPr="00AA3E4E">
        <w:rPr>
          <w:b/>
          <w:color w:val="007AAE"/>
          <w:sz w:val="18"/>
          <w:szCs w:val="18"/>
        </w:rPr>
        <w:fldChar w:fldCharType="separate"/>
      </w:r>
      <w:r w:rsidR="00EF1E54">
        <w:rPr>
          <w:b/>
          <w:noProof/>
          <w:color w:val="007AAE"/>
          <w:sz w:val="18"/>
          <w:szCs w:val="18"/>
        </w:rPr>
        <w:t>18</w:t>
      </w:r>
      <w:r w:rsidRPr="00AA3E4E">
        <w:rPr>
          <w:b/>
          <w:color w:val="007AAE"/>
          <w:sz w:val="18"/>
          <w:szCs w:val="18"/>
        </w:rPr>
        <w:fldChar w:fldCharType="end"/>
      </w:r>
      <w:bookmarkEnd w:id="65"/>
      <w:r w:rsidRPr="00AA3E4E">
        <w:rPr>
          <w:b/>
          <w:color w:val="007AAE"/>
          <w:sz w:val="18"/>
          <w:szCs w:val="18"/>
        </w:rPr>
        <w:t xml:space="preserve"> </w:t>
      </w:r>
      <w:proofErr w:type="gramStart"/>
      <w:r w:rsidRPr="00AA3E4E">
        <w:rPr>
          <w:b/>
          <w:color w:val="007AAE"/>
          <w:sz w:val="18"/>
          <w:szCs w:val="18"/>
        </w:rPr>
        <w:t xml:space="preserve">- </w:t>
      </w:r>
      <w:r>
        <w:rPr>
          <w:b/>
          <w:color w:val="007AAE"/>
          <w:sz w:val="18"/>
          <w:szCs w:val="18"/>
        </w:rPr>
        <w:t xml:space="preserve"> </w:t>
      </w:r>
      <w:r w:rsidRPr="00AA3E4E">
        <w:rPr>
          <w:bCs/>
          <w:color w:val="000000" w:themeColor="text1"/>
          <w:sz w:val="18"/>
          <w:szCs w:val="18"/>
        </w:rPr>
        <w:t>Typical</w:t>
      </w:r>
      <w:proofErr w:type="gramEnd"/>
      <w:r w:rsidRPr="00AA3E4E">
        <w:rPr>
          <w:bCs/>
          <w:color w:val="000000" w:themeColor="text1"/>
          <w:sz w:val="18"/>
          <w:szCs w:val="18"/>
        </w:rPr>
        <w:t xml:space="preserve"> result of a diaphragm meter under methane-hydrogen blends </w:t>
      </w:r>
      <w:r w:rsidRPr="001144A4">
        <w:rPr>
          <w:b/>
          <w:color w:val="4472C4" w:themeColor="accent1"/>
          <w:sz w:val="18"/>
          <w:szCs w:val="18"/>
        </w:rPr>
        <w:t>[</w:t>
      </w:r>
      <w:r w:rsidR="005C452D" w:rsidRPr="001144A4">
        <w:rPr>
          <w:b/>
          <w:color w:val="4472C4" w:themeColor="accent1"/>
          <w:sz w:val="18"/>
          <w:szCs w:val="18"/>
        </w:rPr>
        <w:t>31</w:t>
      </w:r>
      <w:r w:rsidRPr="001144A4">
        <w:rPr>
          <w:b/>
          <w:color w:val="4472C4" w:themeColor="accent1"/>
          <w:sz w:val="18"/>
          <w:szCs w:val="18"/>
        </w:rPr>
        <w:t>]</w:t>
      </w:r>
    </w:p>
    <w:p w14:paraId="6011ABE3" w14:textId="63B480F4" w:rsidR="00FC2903" w:rsidRDefault="00FC2903" w:rsidP="00F668C6">
      <w:pPr>
        <w:jc w:val="both"/>
      </w:pPr>
    </w:p>
    <w:p w14:paraId="1EC3F63F" w14:textId="4BC72C60" w:rsidR="00554683" w:rsidRDefault="00E95A23" w:rsidP="00E95A23">
      <w:pPr>
        <w:pStyle w:val="Heading4"/>
      </w:pPr>
      <w:r>
        <w:t xml:space="preserve">5.2.2.2 </w:t>
      </w:r>
      <w:r w:rsidR="00554683">
        <w:t xml:space="preserve">ULTRASONIC METERS </w:t>
      </w:r>
    </w:p>
    <w:p w14:paraId="328BB88D" w14:textId="199A5E06" w:rsidR="00554683" w:rsidRPr="0042603A" w:rsidRDefault="00554683" w:rsidP="00F668C6">
      <w:pPr>
        <w:pStyle w:val="BodyText"/>
        <w:jc w:val="both"/>
        <w:rPr>
          <w:rFonts w:asciiTheme="minorHAnsi" w:hAnsiTheme="minorHAnsi" w:cstheme="minorHAnsi"/>
          <w:sz w:val="20"/>
          <w:szCs w:val="20"/>
        </w:rPr>
      </w:pPr>
      <w:r w:rsidRPr="0042603A">
        <w:rPr>
          <w:rFonts w:asciiTheme="minorHAnsi" w:hAnsiTheme="minorHAnsi" w:cstheme="minorHAnsi"/>
          <w:sz w:val="20"/>
          <w:szCs w:val="20"/>
        </w:rPr>
        <w:t xml:space="preserve">For ultrasonic meters the response depends on the meter type/vendor. Two typical results from the </w:t>
      </w:r>
      <w:r w:rsidR="00BC4FAF">
        <w:rPr>
          <w:rFonts w:asciiTheme="minorHAnsi" w:hAnsiTheme="minorHAnsi" w:cstheme="minorHAnsi"/>
          <w:sz w:val="20"/>
          <w:szCs w:val="20"/>
        </w:rPr>
        <w:t>tested meters</w:t>
      </w:r>
      <w:r w:rsidRPr="0042603A">
        <w:rPr>
          <w:rFonts w:asciiTheme="minorHAnsi" w:hAnsiTheme="minorHAnsi" w:cstheme="minorHAnsi"/>
          <w:sz w:val="20"/>
          <w:szCs w:val="20"/>
        </w:rPr>
        <w:t xml:space="preserve"> are provided in </w:t>
      </w:r>
      <w:r w:rsidR="00EF1E54" w:rsidRPr="0042603A">
        <w:rPr>
          <w:rFonts w:asciiTheme="minorHAnsi" w:hAnsiTheme="minorHAnsi" w:cstheme="minorHAnsi"/>
          <w:sz w:val="20"/>
          <w:szCs w:val="20"/>
        </w:rPr>
        <w:fldChar w:fldCharType="begin"/>
      </w:r>
      <w:r w:rsidR="00EF1E54" w:rsidRPr="0042603A">
        <w:rPr>
          <w:rFonts w:asciiTheme="minorHAnsi" w:hAnsiTheme="minorHAnsi" w:cstheme="minorHAnsi"/>
          <w:sz w:val="20"/>
          <w:szCs w:val="20"/>
        </w:rPr>
        <w:instrText xml:space="preserve"> REF _Ref110338214 \h </w:instrText>
      </w:r>
      <w:r w:rsidR="0042603A" w:rsidRPr="0042603A">
        <w:rPr>
          <w:rFonts w:asciiTheme="minorHAnsi" w:hAnsiTheme="minorHAnsi" w:cstheme="minorHAnsi"/>
          <w:sz w:val="20"/>
          <w:szCs w:val="20"/>
        </w:rPr>
        <w:instrText xml:space="preserve"> \* MERGEFORMAT </w:instrText>
      </w:r>
      <w:r w:rsidR="00EF1E54" w:rsidRPr="0042603A">
        <w:rPr>
          <w:rFonts w:asciiTheme="minorHAnsi" w:hAnsiTheme="minorHAnsi" w:cstheme="minorHAnsi"/>
          <w:sz w:val="20"/>
          <w:szCs w:val="20"/>
        </w:rPr>
      </w:r>
      <w:r w:rsidR="00EF1E54" w:rsidRPr="0042603A">
        <w:rPr>
          <w:rFonts w:asciiTheme="minorHAnsi" w:hAnsiTheme="minorHAnsi" w:cstheme="minorHAnsi"/>
          <w:sz w:val="20"/>
          <w:szCs w:val="20"/>
        </w:rPr>
        <w:fldChar w:fldCharType="separate"/>
      </w:r>
      <w:r w:rsidR="00EF1E54" w:rsidRPr="0042603A">
        <w:rPr>
          <w:rFonts w:asciiTheme="minorHAnsi" w:hAnsiTheme="minorHAnsi" w:cstheme="minorHAnsi"/>
          <w:b/>
          <w:color w:val="007AAE"/>
          <w:sz w:val="20"/>
          <w:szCs w:val="20"/>
        </w:rPr>
        <w:t xml:space="preserve">Figure </w:t>
      </w:r>
      <w:r w:rsidR="00EF1E54" w:rsidRPr="0042603A">
        <w:rPr>
          <w:rFonts w:asciiTheme="minorHAnsi" w:hAnsiTheme="minorHAnsi" w:cstheme="minorHAnsi"/>
          <w:b/>
          <w:noProof/>
          <w:color w:val="007AAE"/>
          <w:sz w:val="20"/>
          <w:szCs w:val="20"/>
        </w:rPr>
        <w:t>19</w:t>
      </w:r>
      <w:r w:rsidR="00EF1E54" w:rsidRPr="0042603A">
        <w:rPr>
          <w:rFonts w:asciiTheme="minorHAnsi" w:hAnsiTheme="minorHAnsi" w:cstheme="minorHAnsi"/>
          <w:sz w:val="20"/>
          <w:szCs w:val="20"/>
        </w:rPr>
        <w:fldChar w:fldCharType="end"/>
      </w:r>
      <w:r w:rsidRPr="0042603A">
        <w:rPr>
          <w:rFonts w:asciiTheme="minorHAnsi" w:hAnsiTheme="minorHAnsi" w:cstheme="minorHAnsi"/>
          <w:sz w:val="20"/>
          <w:szCs w:val="20"/>
        </w:rPr>
        <w:fldChar w:fldCharType="begin"/>
      </w:r>
      <w:r w:rsidRPr="0042603A">
        <w:rPr>
          <w:rFonts w:asciiTheme="minorHAnsi" w:hAnsiTheme="minorHAnsi" w:cstheme="minorHAnsi"/>
          <w:sz w:val="20"/>
          <w:szCs w:val="20"/>
        </w:rPr>
        <w:instrText xml:space="preserve"> REF _Ref95985601 \h </w:instrText>
      </w:r>
      <w:r w:rsidR="00F668C6" w:rsidRPr="0042603A">
        <w:rPr>
          <w:rFonts w:asciiTheme="minorHAnsi" w:hAnsiTheme="minorHAnsi" w:cstheme="minorHAnsi"/>
          <w:sz w:val="20"/>
          <w:szCs w:val="20"/>
        </w:rPr>
        <w:instrText xml:space="preserve"> \* MERGEFORMAT </w:instrText>
      </w:r>
      <w:r w:rsidRPr="0042603A">
        <w:rPr>
          <w:rFonts w:asciiTheme="minorHAnsi" w:hAnsiTheme="minorHAnsi" w:cstheme="minorHAnsi"/>
          <w:sz w:val="20"/>
          <w:szCs w:val="20"/>
        </w:rPr>
      </w:r>
      <w:r w:rsidR="00383C64">
        <w:rPr>
          <w:rFonts w:asciiTheme="minorHAnsi" w:hAnsiTheme="minorHAnsi" w:cstheme="minorHAnsi"/>
          <w:sz w:val="20"/>
          <w:szCs w:val="20"/>
        </w:rPr>
        <w:fldChar w:fldCharType="separate"/>
      </w:r>
      <w:r w:rsidRPr="0042603A">
        <w:rPr>
          <w:rFonts w:asciiTheme="minorHAnsi" w:hAnsiTheme="minorHAnsi" w:cstheme="minorHAnsi"/>
          <w:sz w:val="20"/>
          <w:szCs w:val="20"/>
        </w:rPr>
        <w:fldChar w:fldCharType="end"/>
      </w:r>
      <w:r w:rsidRPr="0042603A">
        <w:rPr>
          <w:rFonts w:asciiTheme="minorHAnsi" w:hAnsiTheme="minorHAnsi" w:cstheme="minorHAnsi"/>
          <w:sz w:val="20"/>
          <w:szCs w:val="20"/>
        </w:rPr>
        <w:t xml:space="preserve"> and </w:t>
      </w:r>
      <w:r w:rsidR="00EF1E54" w:rsidRPr="0042603A">
        <w:rPr>
          <w:rFonts w:asciiTheme="minorHAnsi" w:hAnsiTheme="minorHAnsi" w:cstheme="minorHAnsi"/>
          <w:sz w:val="20"/>
          <w:szCs w:val="20"/>
        </w:rPr>
        <w:fldChar w:fldCharType="begin"/>
      </w:r>
      <w:r w:rsidR="00EF1E54" w:rsidRPr="0042603A">
        <w:rPr>
          <w:rFonts w:asciiTheme="minorHAnsi" w:hAnsiTheme="minorHAnsi" w:cstheme="minorHAnsi"/>
          <w:sz w:val="20"/>
          <w:szCs w:val="20"/>
        </w:rPr>
        <w:instrText xml:space="preserve"> REF _Ref110338222 \h </w:instrText>
      </w:r>
      <w:r w:rsidR="0042603A" w:rsidRPr="0042603A">
        <w:rPr>
          <w:rFonts w:asciiTheme="minorHAnsi" w:hAnsiTheme="minorHAnsi" w:cstheme="minorHAnsi"/>
          <w:sz w:val="20"/>
          <w:szCs w:val="20"/>
        </w:rPr>
        <w:instrText xml:space="preserve"> \* MERGEFORMAT </w:instrText>
      </w:r>
      <w:r w:rsidR="00EF1E54" w:rsidRPr="0042603A">
        <w:rPr>
          <w:rFonts w:asciiTheme="minorHAnsi" w:hAnsiTheme="minorHAnsi" w:cstheme="minorHAnsi"/>
          <w:sz w:val="20"/>
          <w:szCs w:val="20"/>
        </w:rPr>
      </w:r>
      <w:r w:rsidR="00EF1E54" w:rsidRPr="0042603A">
        <w:rPr>
          <w:rFonts w:asciiTheme="minorHAnsi" w:hAnsiTheme="minorHAnsi" w:cstheme="minorHAnsi"/>
          <w:sz w:val="20"/>
          <w:szCs w:val="20"/>
        </w:rPr>
        <w:fldChar w:fldCharType="separate"/>
      </w:r>
      <w:r w:rsidR="00EF1E54" w:rsidRPr="0042603A">
        <w:rPr>
          <w:rFonts w:asciiTheme="minorHAnsi" w:hAnsiTheme="minorHAnsi" w:cstheme="minorHAnsi"/>
          <w:b/>
          <w:color w:val="007AAE"/>
          <w:sz w:val="20"/>
          <w:szCs w:val="20"/>
        </w:rPr>
        <w:t xml:space="preserve">Figure </w:t>
      </w:r>
      <w:r w:rsidR="00EF1E54" w:rsidRPr="0042603A">
        <w:rPr>
          <w:rFonts w:asciiTheme="minorHAnsi" w:hAnsiTheme="minorHAnsi" w:cstheme="minorHAnsi"/>
          <w:b/>
          <w:noProof/>
          <w:color w:val="007AAE"/>
          <w:sz w:val="20"/>
          <w:szCs w:val="20"/>
        </w:rPr>
        <w:t>20</w:t>
      </w:r>
      <w:r w:rsidR="00EF1E54" w:rsidRPr="0042603A">
        <w:rPr>
          <w:rFonts w:asciiTheme="minorHAnsi" w:hAnsiTheme="minorHAnsi" w:cstheme="minorHAnsi"/>
          <w:sz w:val="20"/>
          <w:szCs w:val="20"/>
        </w:rPr>
        <w:fldChar w:fldCharType="end"/>
      </w:r>
      <w:r w:rsidRPr="0042603A">
        <w:rPr>
          <w:rFonts w:asciiTheme="minorHAnsi" w:hAnsiTheme="minorHAnsi" w:cstheme="minorHAnsi"/>
          <w:sz w:val="20"/>
          <w:szCs w:val="20"/>
        </w:rPr>
        <w:fldChar w:fldCharType="begin"/>
      </w:r>
      <w:r w:rsidRPr="0042603A">
        <w:rPr>
          <w:rFonts w:asciiTheme="minorHAnsi" w:hAnsiTheme="minorHAnsi" w:cstheme="minorHAnsi"/>
          <w:sz w:val="20"/>
          <w:szCs w:val="20"/>
        </w:rPr>
        <w:instrText xml:space="preserve"> REF _Ref95985602 \h </w:instrText>
      </w:r>
      <w:r w:rsidR="00F668C6" w:rsidRPr="0042603A">
        <w:rPr>
          <w:rFonts w:asciiTheme="minorHAnsi" w:hAnsiTheme="minorHAnsi" w:cstheme="minorHAnsi"/>
          <w:sz w:val="20"/>
          <w:szCs w:val="20"/>
        </w:rPr>
        <w:instrText xml:space="preserve"> \* MERGEFORMAT </w:instrText>
      </w:r>
      <w:r w:rsidRPr="0042603A">
        <w:rPr>
          <w:rFonts w:asciiTheme="minorHAnsi" w:hAnsiTheme="minorHAnsi" w:cstheme="minorHAnsi"/>
          <w:sz w:val="20"/>
          <w:szCs w:val="20"/>
        </w:rPr>
      </w:r>
      <w:r w:rsidR="00383C64">
        <w:rPr>
          <w:rFonts w:asciiTheme="minorHAnsi" w:hAnsiTheme="minorHAnsi" w:cstheme="minorHAnsi"/>
          <w:sz w:val="20"/>
          <w:szCs w:val="20"/>
        </w:rPr>
        <w:fldChar w:fldCharType="separate"/>
      </w:r>
      <w:r w:rsidRPr="0042603A">
        <w:rPr>
          <w:rFonts w:asciiTheme="minorHAnsi" w:hAnsiTheme="minorHAnsi" w:cstheme="minorHAnsi"/>
          <w:sz w:val="20"/>
          <w:szCs w:val="20"/>
        </w:rPr>
        <w:fldChar w:fldCharType="end"/>
      </w:r>
      <w:r w:rsidRPr="0042603A">
        <w:rPr>
          <w:rFonts w:asciiTheme="minorHAnsi" w:hAnsiTheme="minorHAnsi" w:cstheme="minorHAnsi"/>
          <w:sz w:val="20"/>
          <w:szCs w:val="20"/>
        </w:rPr>
        <w:t xml:space="preserve">. The results from </w:t>
      </w:r>
      <w:r w:rsidR="00EF1E54" w:rsidRPr="0042603A">
        <w:rPr>
          <w:rFonts w:asciiTheme="minorHAnsi" w:hAnsiTheme="minorHAnsi" w:cstheme="minorHAnsi"/>
          <w:sz w:val="20"/>
          <w:szCs w:val="20"/>
        </w:rPr>
        <w:fldChar w:fldCharType="begin"/>
      </w:r>
      <w:r w:rsidR="00EF1E54" w:rsidRPr="0042603A">
        <w:rPr>
          <w:rFonts w:asciiTheme="minorHAnsi" w:hAnsiTheme="minorHAnsi" w:cstheme="minorHAnsi"/>
          <w:sz w:val="20"/>
          <w:szCs w:val="20"/>
        </w:rPr>
        <w:instrText xml:space="preserve"> REF _Ref110338214 \h </w:instrText>
      </w:r>
      <w:r w:rsidR="0042603A" w:rsidRPr="0042603A">
        <w:rPr>
          <w:rFonts w:asciiTheme="minorHAnsi" w:hAnsiTheme="minorHAnsi" w:cstheme="minorHAnsi"/>
          <w:sz w:val="20"/>
          <w:szCs w:val="20"/>
        </w:rPr>
        <w:instrText xml:space="preserve"> \* MERGEFORMAT </w:instrText>
      </w:r>
      <w:r w:rsidR="00EF1E54" w:rsidRPr="0042603A">
        <w:rPr>
          <w:rFonts w:asciiTheme="minorHAnsi" w:hAnsiTheme="minorHAnsi" w:cstheme="minorHAnsi"/>
          <w:sz w:val="20"/>
          <w:szCs w:val="20"/>
        </w:rPr>
      </w:r>
      <w:r w:rsidR="00EF1E54" w:rsidRPr="0042603A">
        <w:rPr>
          <w:rFonts w:asciiTheme="minorHAnsi" w:hAnsiTheme="minorHAnsi" w:cstheme="minorHAnsi"/>
          <w:sz w:val="20"/>
          <w:szCs w:val="20"/>
        </w:rPr>
        <w:fldChar w:fldCharType="separate"/>
      </w:r>
      <w:r w:rsidR="00EF1E54" w:rsidRPr="0042603A">
        <w:rPr>
          <w:rFonts w:asciiTheme="minorHAnsi" w:hAnsiTheme="minorHAnsi" w:cstheme="minorHAnsi"/>
          <w:b/>
          <w:color w:val="007AAE"/>
          <w:sz w:val="20"/>
          <w:szCs w:val="20"/>
        </w:rPr>
        <w:t xml:space="preserve">Figure </w:t>
      </w:r>
      <w:r w:rsidR="00EF1E54" w:rsidRPr="0042603A">
        <w:rPr>
          <w:rFonts w:asciiTheme="minorHAnsi" w:hAnsiTheme="minorHAnsi" w:cstheme="minorHAnsi"/>
          <w:b/>
          <w:noProof/>
          <w:color w:val="007AAE"/>
          <w:sz w:val="20"/>
          <w:szCs w:val="20"/>
        </w:rPr>
        <w:t>19</w:t>
      </w:r>
      <w:r w:rsidR="00EF1E54" w:rsidRPr="0042603A">
        <w:rPr>
          <w:rFonts w:asciiTheme="minorHAnsi" w:hAnsiTheme="minorHAnsi" w:cstheme="minorHAnsi"/>
          <w:sz w:val="20"/>
          <w:szCs w:val="20"/>
        </w:rPr>
        <w:fldChar w:fldCharType="end"/>
      </w:r>
      <w:r w:rsidR="00EF1E54" w:rsidRPr="0042603A">
        <w:rPr>
          <w:rFonts w:asciiTheme="minorHAnsi" w:hAnsiTheme="minorHAnsi" w:cstheme="minorHAnsi"/>
          <w:sz w:val="20"/>
          <w:szCs w:val="20"/>
        </w:rPr>
        <w:t xml:space="preserve"> </w:t>
      </w:r>
      <w:r w:rsidRPr="0042603A">
        <w:rPr>
          <w:rFonts w:asciiTheme="minorHAnsi" w:hAnsiTheme="minorHAnsi" w:cstheme="minorHAnsi"/>
          <w:sz w:val="20"/>
          <w:szCs w:val="20"/>
        </w:rPr>
        <w:t>show generally good transferability between methane and methane-hydrogen blends with some minor deviations at low flow rates (</w:t>
      </w:r>
      <w:proofErr w:type="gramStart"/>
      <w:r w:rsidRPr="0042603A">
        <w:rPr>
          <w:rFonts w:asciiTheme="minorHAnsi" w:hAnsiTheme="minorHAnsi" w:cstheme="minorHAnsi"/>
          <w:sz w:val="20"/>
          <w:szCs w:val="20"/>
        </w:rPr>
        <w:t>similar to</w:t>
      </w:r>
      <w:proofErr w:type="gramEnd"/>
      <w:r w:rsidRPr="0042603A">
        <w:rPr>
          <w:rFonts w:asciiTheme="minorHAnsi" w:hAnsiTheme="minorHAnsi" w:cstheme="minorHAnsi"/>
          <w:sz w:val="20"/>
          <w:szCs w:val="20"/>
        </w:rPr>
        <w:t xml:space="preserve"> the diaphragm meters). The results for the second meter in </w:t>
      </w:r>
      <w:r w:rsidR="00EF1E54" w:rsidRPr="0042603A">
        <w:rPr>
          <w:rFonts w:asciiTheme="minorHAnsi" w:hAnsiTheme="minorHAnsi" w:cstheme="minorHAnsi"/>
          <w:sz w:val="20"/>
          <w:szCs w:val="20"/>
        </w:rPr>
        <w:fldChar w:fldCharType="begin"/>
      </w:r>
      <w:r w:rsidR="00EF1E54" w:rsidRPr="0042603A">
        <w:rPr>
          <w:rFonts w:asciiTheme="minorHAnsi" w:hAnsiTheme="minorHAnsi" w:cstheme="minorHAnsi"/>
          <w:sz w:val="20"/>
          <w:szCs w:val="20"/>
        </w:rPr>
        <w:instrText xml:space="preserve"> REF _Ref110338222 \h </w:instrText>
      </w:r>
      <w:r w:rsidR="0042603A" w:rsidRPr="0042603A">
        <w:rPr>
          <w:rFonts w:asciiTheme="minorHAnsi" w:hAnsiTheme="minorHAnsi" w:cstheme="minorHAnsi"/>
          <w:sz w:val="20"/>
          <w:szCs w:val="20"/>
        </w:rPr>
        <w:instrText xml:space="preserve"> \* MERGEFORMAT </w:instrText>
      </w:r>
      <w:r w:rsidR="00EF1E54" w:rsidRPr="0042603A">
        <w:rPr>
          <w:rFonts w:asciiTheme="minorHAnsi" w:hAnsiTheme="minorHAnsi" w:cstheme="minorHAnsi"/>
          <w:sz w:val="20"/>
          <w:szCs w:val="20"/>
        </w:rPr>
      </w:r>
      <w:r w:rsidR="00EF1E54" w:rsidRPr="0042603A">
        <w:rPr>
          <w:rFonts w:asciiTheme="minorHAnsi" w:hAnsiTheme="minorHAnsi" w:cstheme="minorHAnsi"/>
          <w:sz w:val="20"/>
          <w:szCs w:val="20"/>
        </w:rPr>
        <w:fldChar w:fldCharType="separate"/>
      </w:r>
      <w:r w:rsidR="00EF1E54" w:rsidRPr="0042603A">
        <w:rPr>
          <w:rFonts w:asciiTheme="minorHAnsi" w:hAnsiTheme="minorHAnsi" w:cstheme="minorHAnsi"/>
          <w:b/>
          <w:color w:val="007AAE"/>
          <w:sz w:val="20"/>
          <w:szCs w:val="20"/>
        </w:rPr>
        <w:t xml:space="preserve">Figure </w:t>
      </w:r>
      <w:r w:rsidR="00EF1E54" w:rsidRPr="0042603A">
        <w:rPr>
          <w:rFonts w:asciiTheme="minorHAnsi" w:hAnsiTheme="minorHAnsi" w:cstheme="minorHAnsi"/>
          <w:b/>
          <w:noProof/>
          <w:color w:val="007AAE"/>
          <w:sz w:val="20"/>
          <w:szCs w:val="20"/>
        </w:rPr>
        <w:t>20</w:t>
      </w:r>
      <w:r w:rsidR="00EF1E54" w:rsidRPr="0042603A">
        <w:rPr>
          <w:rFonts w:asciiTheme="minorHAnsi" w:hAnsiTheme="minorHAnsi" w:cstheme="minorHAnsi"/>
          <w:sz w:val="20"/>
          <w:szCs w:val="20"/>
        </w:rPr>
        <w:fldChar w:fldCharType="end"/>
      </w:r>
      <w:r w:rsidR="00EF1E54" w:rsidRPr="0042603A">
        <w:rPr>
          <w:rFonts w:asciiTheme="minorHAnsi" w:hAnsiTheme="minorHAnsi" w:cstheme="minorHAnsi"/>
          <w:sz w:val="20"/>
          <w:szCs w:val="20"/>
        </w:rPr>
        <w:t xml:space="preserve"> </w:t>
      </w:r>
      <w:r w:rsidRPr="0042603A">
        <w:rPr>
          <w:rFonts w:asciiTheme="minorHAnsi" w:hAnsiTheme="minorHAnsi" w:cstheme="minorHAnsi"/>
          <w:sz w:val="20"/>
          <w:szCs w:val="20"/>
        </w:rPr>
        <w:t>show large deviations up to -2</w:t>
      </w:r>
      <w:r w:rsidR="005B6DD3">
        <w:rPr>
          <w:rFonts w:asciiTheme="minorHAnsi" w:hAnsiTheme="minorHAnsi" w:cstheme="minorHAnsi"/>
          <w:sz w:val="20"/>
          <w:szCs w:val="20"/>
        </w:rPr>
        <w:t xml:space="preserve"> </w:t>
      </w:r>
      <w:r w:rsidRPr="0042603A">
        <w:rPr>
          <w:rFonts w:asciiTheme="minorHAnsi" w:hAnsiTheme="minorHAnsi" w:cstheme="minorHAnsi"/>
          <w:sz w:val="20"/>
          <w:szCs w:val="20"/>
        </w:rPr>
        <w:t>%. This meter was part of the installed-base meters, and it is possible these installed-base meters are not (made) suitable for hydrogen admixtures. In the work of ref</w:t>
      </w:r>
      <w:r w:rsidR="00B74C1D" w:rsidRPr="0042603A">
        <w:rPr>
          <w:rFonts w:asciiTheme="minorHAnsi" w:hAnsiTheme="minorHAnsi" w:cstheme="minorHAnsi"/>
          <w:sz w:val="20"/>
          <w:szCs w:val="20"/>
        </w:rPr>
        <w:t xml:space="preserve">erence </w:t>
      </w:r>
      <w:r w:rsidR="00B74C1D" w:rsidRPr="00D106B5">
        <w:rPr>
          <w:rFonts w:asciiTheme="minorHAnsi" w:hAnsiTheme="minorHAnsi" w:cstheme="minorHAnsi"/>
          <w:b/>
          <w:bCs/>
          <w:color w:val="4472C4" w:themeColor="accent1"/>
          <w:sz w:val="20"/>
          <w:szCs w:val="20"/>
        </w:rPr>
        <w:t>[31]</w:t>
      </w:r>
      <w:r w:rsidRPr="00D106B5">
        <w:rPr>
          <w:rFonts w:asciiTheme="minorHAnsi" w:hAnsiTheme="minorHAnsi" w:cstheme="minorHAnsi"/>
          <w:color w:val="4472C4" w:themeColor="accent1"/>
          <w:sz w:val="20"/>
          <w:szCs w:val="20"/>
        </w:rPr>
        <w:t xml:space="preserve"> </w:t>
      </w:r>
      <w:r w:rsidRPr="0042603A">
        <w:rPr>
          <w:rFonts w:asciiTheme="minorHAnsi" w:hAnsiTheme="minorHAnsi" w:cstheme="minorHAnsi"/>
          <w:sz w:val="20"/>
          <w:szCs w:val="20"/>
        </w:rPr>
        <w:t xml:space="preserve">also a second installed-base meter was tested, and it was </w:t>
      </w:r>
      <w:r w:rsidR="00D106B5">
        <w:rPr>
          <w:rFonts w:asciiTheme="minorHAnsi" w:hAnsiTheme="minorHAnsi" w:cstheme="minorHAnsi"/>
          <w:sz w:val="20"/>
          <w:szCs w:val="20"/>
        </w:rPr>
        <w:t>found</w:t>
      </w:r>
      <w:r w:rsidRPr="0042603A">
        <w:rPr>
          <w:rFonts w:asciiTheme="minorHAnsi" w:hAnsiTheme="minorHAnsi" w:cstheme="minorHAnsi"/>
          <w:sz w:val="20"/>
          <w:szCs w:val="20"/>
        </w:rPr>
        <w:t xml:space="preserve"> that for some flow points the results matched within 0.2</w:t>
      </w:r>
      <w:r w:rsidR="00D106B5">
        <w:rPr>
          <w:rFonts w:asciiTheme="minorHAnsi" w:hAnsiTheme="minorHAnsi" w:cstheme="minorHAnsi"/>
          <w:sz w:val="20"/>
          <w:szCs w:val="20"/>
        </w:rPr>
        <w:t xml:space="preserve"> </w:t>
      </w:r>
      <w:r w:rsidRPr="0042603A">
        <w:rPr>
          <w:rFonts w:asciiTheme="minorHAnsi" w:hAnsiTheme="minorHAnsi" w:cstheme="minorHAnsi"/>
          <w:sz w:val="20"/>
          <w:szCs w:val="20"/>
        </w:rPr>
        <w:t>% while at other flow points the deviations were much larger (up to -3</w:t>
      </w:r>
      <w:r w:rsidR="00D106B5">
        <w:rPr>
          <w:rFonts w:asciiTheme="minorHAnsi" w:hAnsiTheme="minorHAnsi" w:cstheme="minorHAnsi"/>
          <w:sz w:val="20"/>
          <w:szCs w:val="20"/>
        </w:rPr>
        <w:t xml:space="preserve"> </w:t>
      </w:r>
      <w:r w:rsidRPr="0042603A">
        <w:rPr>
          <w:rFonts w:asciiTheme="minorHAnsi" w:hAnsiTheme="minorHAnsi" w:cstheme="minorHAnsi"/>
          <w:sz w:val="20"/>
          <w:szCs w:val="20"/>
        </w:rPr>
        <w:t>%) without any systematic trend. This could indicate that the measurement is either successful or not, where in the latter case a value with negative bias is outputted (or maybe even a zero value, however this could not be verified). The author of</w:t>
      </w:r>
      <w:r w:rsidR="00B74C1D" w:rsidRPr="0042603A">
        <w:rPr>
          <w:rFonts w:asciiTheme="minorHAnsi" w:hAnsiTheme="minorHAnsi" w:cstheme="minorHAnsi"/>
          <w:sz w:val="20"/>
          <w:szCs w:val="20"/>
        </w:rPr>
        <w:t xml:space="preserve"> </w:t>
      </w:r>
      <w:r w:rsidR="00B74C1D" w:rsidRPr="004F72AB">
        <w:rPr>
          <w:rFonts w:asciiTheme="minorHAnsi" w:hAnsiTheme="minorHAnsi" w:cstheme="minorHAnsi"/>
          <w:b/>
          <w:bCs/>
          <w:color w:val="4472C4" w:themeColor="accent1"/>
          <w:sz w:val="20"/>
          <w:szCs w:val="20"/>
        </w:rPr>
        <w:t>[31]</w:t>
      </w:r>
      <w:r w:rsidRPr="004F72AB">
        <w:rPr>
          <w:rFonts w:asciiTheme="minorHAnsi" w:hAnsiTheme="minorHAnsi" w:cstheme="minorHAnsi"/>
          <w:color w:val="4472C4" w:themeColor="accent1"/>
          <w:sz w:val="20"/>
          <w:szCs w:val="20"/>
        </w:rPr>
        <w:t xml:space="preserve"> </w:t>
      </w:r>
      <w:r w:rsidRPr="0042603A">
        <w:rPr>
          <w:rFonts w:asciiTheme="minorHAnsi" w:hAnsiTheme="minorHAnsi" w:cstheme="minorHAnsi"/>
          <w:sz w:val="20"/>
          <w:szCs w:val="20"/>
        </w:rPr>
        <w:t xml:space="preserve">highlighted that this was only observed for hydrogen content above 15%, so it seems the meter has a certain hydrogen threshold above which these mismeasurements start to occur. </w:t>
      </w:r>
    </w:p>
    <w:p w14:paraId="3533BA43" w14:textId="77777777" w:rsidR="00554683" w:rsidRDefault="00554683" w:rsidP="00F668C6">
      <w:pPr>
        <w:spacing w:after="200" w:line="276" w:lineRule="auto"/>
        <w:jc w:val="both"/>
      </w:pPr>
    </w:p>
    <w:p w14:paraId="244EA7F2" w14:textId="77777777" w:rsidR="00AA3E4E" w:rsidRDefault="00554683" w:rsidP="00AA3E4E">
      <w:pPr>
        <w:keepNext/>
        <w:spacing w:after="200" w:line="276" w:lineRule="auto"/>
        <w:jc w:val="both"/>
      </w:pPr>
      <w:r>
        <w:rPr>
          <w:noProof/>
        </w:rPr>
        <w:drawing>
          <wp:inline distT="0" distB="0" distL="0" distR="0" wp14:anchorId="54F7DF7B" wp14:editId="21DBD692">
            <wp:extent cx="4686300" cy="308610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86300" cy="3086100"/>
                    </a:xfrm>
                    <a:prstGeom prst="rect">
                      <a:avLst/>
                    </a:prstGeom>
                    <a:noFill/>
                    <a:ln>
                      <a:noFill/>
                    </a:ln>
                  </pic:spPr>
                </pic:pic>
              </a:graphicData>
            </a:graphic>
          </wp:inline>
        </w:drawing>
      </w:r>
    </w:p>
    <w:p w14:paraId="1C7D694B" w14:textId="285FE5D7" w:rsidR="00554683" w:rsidRPr="00AA3E4E" w:rsidRDefault="00AA3E4E" w:rsidP="00AA3E4E">
      <w:pPr>
        <w:spacing w:before="120" w:line="276" w:lineRule="auto"/>
        <w:ind w:left="2552" w:right="1134" w:hanging="1418"/>
        <w:jc w:val="center"/>
        <w:rPr>
          <w:bCs/>
          <w:color w:val="000000" w:themeColor="text1"/>
          <w:sz w:val="18"/>
          <w:szCs w:val="18"/>
        </w:rPr>
      </w:pPr>
      <w:bookmarkStart w:id="66" w:name="_Ref110338214"/>
      <w:r w:rsidRPr="00AA3E4E">
        <w:rPr>
          <w:b/>
          <w:color w:val="007AAE"/>
          <w:sz w:val="18"/>
          <w:szCs w:val="18"/>
        </w:rPr>
        <w:t xml:space="preserve">Figure </w:t>
      </w:r>
      <w:r w:rsidRPr="00AA3E4E">
        <w:rPr>
          <w:b/>
          <w:color w:val="007AAE"/>
          <w:sz w:val="18"/>
          <w:szCs w:val="18"/>
        </w:rPr>
        <w:fldChar w:fldCharType="begin"/>
      </w:r>
      <w:r w:rsidRPr="00AA3E4E">
        <w:rPr>
          <w:b/>
          <w:color w:val="007AAE"/>
          <w:sz w:val="18"/>
          <w:szCs w:val="18"/>
        </w:rPr>
        <w:instrText xml:space="preserve"> SEQ Figure \* ARABIC </w:instrText>
      </w:r>
      <w:r w:rsidRPr="00AA3E4E">
        <w:rPr>
          <w:b/>
          <w:color w:val="007AAE"/>
          <w:sz w:val="18"/>
          <w:szCs w:val="18"/>
        </w:rPr>
        <w:fldChar w:fldCharType="separate"/>
      </w:r>
      <w:r w:rsidR="00EF1E54">
        <w:rPr>
          <w:b/>
          <w:noProof/>
          <w:color w:val="007AAE"/>
          <w:sz w:val="18"/>
          <w:szCs w:val="18"/>
        </w:rPr>
        <w:t>19</w:t>
      </w:r>
      <w:r w:rsidRPr="00AA3E4E">
        <w:rPr>
          <w:b/>
          <w:color w:val="007AAE"/>
          <w:sz w:val="18"/>
          <w:szCs w:val="18"/>
        </w:rPr>
        <w:fldChar w:fldCharType="end"/>
      </w:r>
      <w:bookmarkEnd w:id="66"/>
      <w:r w:rsidRPr="00AA3E4E">
        <w:rPr>
          <w:b/>
          <w:color w:val="007AAE"/>
          <w:sz w:val="18"/>
          <w:szCs w:val="18"/>
        </w:rPr>
        <w:t xml:space="preserve"> </w:t>
      </w:r>
      <w:r w:rsidRPr="00AA3E4E">
        <w:rPr>
          <w:bCs/>
          <w:color w:val="000000" w:themeColor="text1"/>
          <w:sz w:val="18"/>
          <w:szCs w:val="18"/>
        </w:rPr>
        <w:t xml:space="preserve">- Typical result of an ultrasonic meter (meter E) under methane-hydrogen blends </w:t>
      </w:r>
      <w:r w:rsidR="005C452D">
        <w:rPr>
          <w:bCs/>
          <w:color w:val="000000" w:themeColor="text1"/>
          <w:sz w:val="18"/>
          <w:szCs w:val="18"/>
        </w:rPr>
        <w:t>[31]</w:t>
      </w:r>
    </w:p>
    <w:p w14:paraId="01CB459C" w14:textId="77777777" w:rsidR="00AA3E4E" w:rsidRDefault="00554683" w:rsidP="00AA3E4E">
      <w:pPr>
        <w:pStyle w:val="BodyText"/>
        <w:keepNext/>
        <w:jc w:val="both"/>
      </w:pPr>
      <w:r>
        <w:rPr>
          <w:noProof/>
          <w:lang w:val="en-US"/>
        </w:rPr>
        <w:lastRenderedPageBreak/>
        <w:drawing>
          <wp:inline distT="0" distB="0" distL="0" distR="0" wp14:anchorId="444552F1" wp14:editId="5A198097">
            <wp:extent cx="4676775" cy="3124200"/>
            <wp:effectExtent l="0" t="0" r="9525"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76775" cy="3124200"/>
                    </a:xfrm>
                    <a:prstGeom prst="rect">
                      <a:avLst/>
                    </a:prstGeom>
                    <a:noFill/>
                    <a:ln>
                      <a:noFill/>
                    </a:ln>
                  </pic:spPr>
                </pic:pic>
              </a:graphicData>
            </a:graphic>
          </wp:inline>
        </w:drawing>
      </w:r>
    </w:p>
    <w:p w14:paraId="0453A594" w14:textId="1CDF4EDF" w:rsidR="00554683" w:rsidRPr="00EF1E54" w:rsidRDefault="00AA3E4E" w:rsidP="00EF1E54">
      <w:pPr>
        <w:spacing w:before="120" w:line="276" w:lineRule="auto"/>
        <w:ind w:left="2552" w:right="1134" w:hanging="1418"/>
        <w:jc w:val="center"/>
        <w:rPr>
          <w:bCs/>
          <w:color w:val="000000" w:themeColor="text1"/>
          <w:sz w:val="18"/>
          <w:szCs w:val="18"/>
        </w:rPr>
      </w:pPr>
      <w:bookmarkStart w:id="67" w:name="_Ref110338222"/>
      <w:r w:rsidRPr="00EF1E54">
        <w:rPr>
          <w:b/>
          <w:color w:val="007AAE"/>
          <w:sz w:val="18"/>
          <w:szCs w:val="18"/>
        </w:rPr>
        <w:t xml:space="preserve">Figure </w:t>
      </w:r>
      <w:r w:rsidRPr="00EF1E54">
        <w:rPr>
          <w:b/>
          <w:color w:val="007AAE"/>
          <w:sz w:val="18"/>
          <w:szCs w:val="18"/>
        </w:rPr>
        <w:fldChar w:fldCharType="begin"/>
      </w:r>
      <w:r w:rsidRPr="00EF1E54">
        <w:rPr>
          <w:b/>
          <w:color w:val="007AAE"/>
          <w:sz w:val="18"/>
          <w:szCs w:val="18"/>
        </w:rPr>
        <w:instrText xml:space="preserve"> SEQ Figure \* ARABIC </w:instrText>
      </w:r>
      <w:r w:rsidRPr="00EF1E54">
        <w:rPr>
          <w:b/>
          <w:color w:val="007AAE"/>
          <w:sz w:val="18"/>
          <w:szCs w:val="18"/>
        </w:rPr>
        <w:fldChar w:fldCharType="separate"/>
      </w:r>
      <w:r w:rsidR="00EF1E54">
        <w:rPr>
          <w:b/>
          <w:noProof/>
          <w:color w:val="007AAE"/>
          <w:sz w:val="18"/>
          <w:szCs w:val="18"/>
        </w:rPr>
        <w:t>20</w:t>
      </w:r>
      <w:r w:rsidRPr="00EF1E54">
        <w:rPr>
          <w:b/>
          <w:color w:val="007AAE"/>
          <w:sz w:val="18"/>
          <w:szCs w:val="18"/>
        </w:rPr>
        <w:fldChar w:fldCharType="end"/>
      </w:r>
      <w:bookmarkEnd w:id="67"/>
      <w:r w:rsidRPr="00EF1E54">
        <w:rPr>
          <w:b/>
          <w:color w:val="007AAE"/>
          <w:sz w:val="18"/>
          <w:szCs w:val="18"/>
        </w:rPr>
        <w:t xml:space="preserve"> - </w:t>
      </w:r>
      <w:r w:rsidR="00EF1E54" w:rsidRPr="00EF1E54">
        <w:rPr>
          <w:bCs/>
          <w:color w:val="000000" w:themeColor="text1"/>
          <w:sz w:val="18"/>
          <w:szCs w:val="18"/>
        </w:rPr>
        <w:t xml:space="preserve">Typical result of an ultrasonic meter (meter G) under methane-hydrogen blends </w:t>
      </w:r>
      <w:r w:rsidR="005C452D">
        <w:rPr>
          <w:bCs/>
          <w:color w:val="000000" w:themeColor="text1"/>
          <w:sz w:val="18"/>
          <w:szCs w:val="18"/>
        </w:rPr>
        <w:t>[31]</w:t>
      </w:r>
    </w:p>
    <w:p w14:paraId="392B3CBB" w14:textId="25298D6C" w:rsidR="00554683" w:rsidRPr="00554683" w:rsidRDefault="00E95A23" w:rsidP="00E95A23">
      <w:pPr>
        <w:pStyle w:val="Heading4"/>
      </w:pPr>
      <w:r>
        <w:t xml:space="preserve">5.2.2.3 </w:t>
      </w:r>
      <w:r w:rsidR="00554683">
        <w:t xml:space="preserve">THERMAL MASS METERS </w:t>
      </w:r>
    </w:p>
    <w:p w14:paraId="2A2B0D6E" w14:textId="730A7921" w:rsidR="00554683" w:rsidRPr="0042603A" w:rsidRDefault="00554683" w:rsidP="00F668C6">
      <w:pPr>
        <w:pStyle w:val="BodyText"/>
        <w:jc w:val="both"/>
        <w:rPr>
          <w:rFonts w:asciiTheme="minorHAnsi" w:hAnsiTheme="minorHAnsi" w:cstheme="minorHAnsi"/>
          <w:sz w:val="20"/>
          <w:szCs w:val="20"/>
          <w:lang w:val="en-US"/>
        </w:rPr>
      </w:pPr>
      <w:r w:rsidRPr="0042603A">
        <w:rPr>
          <w:rFonts w:asciiTheme="minorHAnsi" w:hAnsiTheme="minorHAnsi" w:cstheme="minorHAnsi"/>
          <w:sz w:val="20"/>
          <w:szCs w:val="20"/>
          <w:lang w:val="en-US"/>
        </w:rPr>
        <w:t>Only 2 thermal mass meters were tested. The general conclusion was that typically the results matched well between methane and hydrogen-methane mixtures, however with more scatter and larger deviations at low flow rates. An example of the results is given in</w:t>
      </w:r>
      <w:r w:rsidR="00295037" w:rsidRPr="0042603A">
        <w:rPr>
          <w:rFonts w:asciiTheme="minorHAnsi" w:hAnsiTheme="minorHAnsi" w:cstheme="minorHAnsi"/>
          <w:sz w:val="20"/>
          <w:szCs w:val="20"/>
          <w:lang w:val="en-US"/>
        </w:rPr>
        <w:t xml:space="preserve"> </w:t>
      </w:r>
      <w:r w:rsidR="00295037" w:rsidRPr="0042603A">
        <w:rPr>
          <w:rFonts w:asciiTheme="minorHAnsi" w:hAnsiTheme="minorHAnsi" w:cstheme="minorHAnsi"/>
          <w:sz w:val="20"/>
          <w:szCs w:val="20"/>
          <w:lang w:val="en-US"/>
        </w:rPr>
        <w:fldChar w:fldCharType="begin"/>
      </w:r>
      <w:r w:rsidR="00295037" w:rsidRPr="0042603A">
        <w:rPr>
          <w:rFonts w:asciiTheme="minorHAnsi" w:hAnsiTheme="minorHAnsi" w:cstheme="minorHAnsi"/>
          <w:sz w:val="20"/>
          <w:szCs w:val="20"/>
          <w:lang w:val="en-US"/>
        </w:rPr>
        <w:instrText xml:space="preserve"> REF _Ref110338262 \h </w:instrText>
      </w:r>
      <w:r w:rsidR="0042603A" w:rsidRPr="0042603A">
        <w:rPr>
          <w:rFonts w:asciiTheme="minorHAnsi" w:hAnsiTheme="minorHAnsi" w:cstheme="minorHAnsi"/>
          <w:sz w:val="20"/>
          <w:szCs w:val="20"/>
          <w:lang w:val="en-US"/>
        </w:rPr>
        <w:instrText xml:space="preserve"> \* MERGEFORMAT </w:instrText>
      </w:r>
      <w:r w:rsidR="00295037" w:rsidRPr="0042603A">
        <w:rPr>
          <w:rFonts w:asciiTheme="minorHAnsi" w:hAnsiTheme="minorHAnsi" w:cstheme="minorHAnsi"/>
          <w:sz w:val="20"/>
          <w:szCs w:val="20"/>
          <w:lang w:val="en-US"/>
        </w:rPr>
      </w:r>
      <w:r w:rsidR="00295037" w:rsidRPr="0042603A">
        <w:rPr>
          <w:rFonts w:asciiTheme="minorHAnsi" w:hAnsiTheme="minorHAnsi" w:cstheme="minorHAnsi"/>
          <w:sz w:val="20"/>
          <w:szCs w:val="20"/>
          <w:lang w:val="en-US"/>
        </w:rPr>
        <w:fldChar w:fldCharType="separate"/>
      </w:r>
      <w:r w:rsidR="00295037" w:rsidRPr="0042603A">
        <w:rPr>
          <w:rFonts w:asciiTheme="minorHAnsi" w:hAnsiTheme="minorHAnsi" w:cstheme="minorHAnsi"/>
          <w:b/>
          <w:color w:val="007AAE"/>
          <w:sz w:val="20"/>
          <w:szCs w:val="20"/>
        </w:rPr>
        <w:t>Figure 21</w:t>
      </w:r>
      <w:r w:rsidR="00295037" w:rsidRPr="0042603A">
        <w:rPr>
          <w:rFonts w:asciiTheme="minorHAnsi" w:hAnsiTheme="minorHAnsi" w:cstheme="minorHAnsi"/>
          <w:sz w:val="20"/>
          <w:szCs w:val="20"/>
          <w:lang w:val="en-US"/>
        </w:rPr>
        <w:fldChar w:fldCharType="end"/>
      </w:r>
      <w:r w:rsidRPr="0042603A">
        <w:rPr>
          <w:rFonts w:asciiTheme="minorHAnsi" w:hAnsiTheme="minorHAnsi" w:cstheme="minorHAnsi"/>
          <w:sz w:val="20"/>
          <w:szCs w:val="20"/>
          <w:lang w:val="en-US"/>
        </w:rPr>
        <w:t>.</w:t>
      </w:r>
    </w:p>
    <w:p w14:paraId="6DBB7D3C" w14:textId="77777777" w:rsidR="00EF1E54" w:rsidRDefault="00554683" w:rsidP="00EF1E54">
      <w:pPr>
        <w:pStyle w:val="BodyText"/>
        <w:keepNext/>
        <w:jc w:val="both"/>
      </w:pPr>
      <w:r>
        <w:rPr>
          <w:noProof/>
          <w:lang w:val="en-US"/>
        </w:rPr>
        <w:drawing>
          <wp:inline distT="0" distB="0" distL="0" distR="0" wp14:anchorId="1AF45344" wp14:editId="213BF8E4">
            <wp:extent cx="4676775" cy="3105150"/>
            <wp:effectExtent l="0" t="0" r="9525"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76775" cy="3105150"/>
                    </a:xfrm>
                    <a:prstGeom prst="rect">
                      <a:avLst/>
                    </a:prstGeom>
                    <a:noFill/>
                    <a:ln>
                      <a:noFill/>
                    </a:ln>
                  </pic:spPr>
                </pic:pic>
              </a:graphicData>
            </a:graphic>
          </wp:inline>
        </w:drawing>
      </w:r>
    </w:p>
    <w:p w14:paraId="50AEF181" w14:textId="46FFF93A" w:rsidR="00554683" w:rsidRPr="00EF1E54" w:rsidRDefault="00EF1E54" w:rsidP="00EF1E54">
      <w:pPr>
        <w:spacing w:before="120" w:line="276" w:lineRule="auto"/>
        <w:ind w:left="2552" w:right="1134" w:hanging="1418"/>
        <w:jc w:val="center"/>
        <w:rPr>
          <w:bCs/>
          <w:color w:val="000000" w:themeColor="text1"/>
          <w:sz w:val="18"/>
          <w:szCs w:val="18"/>
        </w:rPr>
      </w:pPr>
      <w:bookmarkStart w:id="68" w:name="_Ref110338262"/>
      <w:r w:rsidRPr="00EF1E54">
        <w:rPr>
          <w:b/>
          <w:color w:val="007AAE"/>
          <w:sz w:val="18"/>
          <w:szCs w:val="18"/>
        </w:rPr>
        <w:t xml:space="preserve">Figure </w:t>
      </w:r>
      <w:r w:rsidRPr="00EF1E54">
        <w:rPr>
          <w:b/>
          <w:color w:val="007AAE"/>
          <w:sz w:val="18"/>
          <w:szCs w:val="18"/>
        </w:rPr>
        <w:fldChar w:fldCharType="begin"/>
      </w:r>
      <w:r w:rsidRPr="00EF1E54">
        <w:rPr>
          <w:b/>
          <w:color w:val="007AAE"/>
          <w:sz w:val="18"/>
          <w:szCs w:val="18"/>
        </w:rPr>
        <w:instrText xml:space="preserve"> SEQ Figure \* ARABIC </w:instrText>
      </w:r>
      <w:r w:rsidRPr="00EF1E54">
        <w:rPr>
          <w:b/>
          <w:color w:val="007AAE"/>
          <w:sz w:val="18"/>
          <w:szCs w:val="18"/>
        </w:rPr>
        <w:fldChar w:fldCharType="separate"/>
      </w:r>
      <w:r w:rsidRPr="00EF1E54">
        <w:rPr>
          <w:b/>
          <w:color w:val="007AAE"/>
          <w:sz w:val="18"/>
          <w:szCs w:val="18"/>
        </w:rPr>
        <w:t>21</w:t>
      </w:r>
      <w:r w:rsidRPr="00EF1E54">
        <w:rPr>
          <w:b/>
          <w:color w:val="007AAE"/>
          <w:sz w:val="18"/>
          <w:szCs w:val="18"/>
        </w:rPr>
        <w:fldChar w:fldCharType="end"/>
      </w:r>
      <w:bookmarkEnd w:id="68"/>
      <w:r>
        <w:rPr>
          <w:b/>
          <w:color w:val="007AAE"/>
          <w:sz w:val="18"/>
          <w:szCs w:val="18"/>
        </w:rPr>
        <w:t xml:space="preserve"> - </w:t>
      </w:r>
      <w:r w:rsidRPr="00EF1E54">
        <w:rPr>
          <w:bCs/>
          <w:color w:val="000000" w:themeColor="text1"/>
          <w:sz w:val="18"/>
          <w:szCs w:val="18"/>
        </w:rPr>
        <w:t xml:space="preserve">Typical result of a thermal mass meter under methane-hydrogen blends </w:t>
      </w:r>
      <w:r w:rsidR="005C452D">
        <w:rPr>
          <w:bCs/>
          <w:color w:val="000000" w:themeColor="text1"/>
          <w:sz w:val="18"/>
          <w:szCs w:val="18"/>
        </w:rPr>
        <w:t>[31]</w:t>
      </w:r>
    </w:p>
    <w:p w14:paraId="0B9BC996" w14:textId="77777777" w:rsidR="00554683" w:rsidRDefault="00554683" w:rsidP="00F668C6">
      <w:pPr>
        <w:pStyle w:val="BodyText"/>
        <w:jc w:val="both"/>
        <w:rPr>
          <w:lang w:val="en-US"/>
        </w:rPr>
      </w:pPr>
    </w:p>
    <w:p w14:paraId="72912E52" w14:textId="77777777" w:rsidR="00554683" w:rsidRDefault="00554683" w:rsidP="00F668C6">
      <w:pPr>
        <w:spacing w:after="200" w:line="276" w:lineRule="auto"/>
        <w:jc w:val="both"/>
      </w:pPr>
      <w:r>
        <w:br w:type="page"/>
      </w:r>
    </w:p>
    <w:p w14:paraId="1BB86749" w14:textId="77777777" w:rsidR="00554683" w:rsidRPr="00BC19B8" w:rsidRDefault="00554683" w:rsidP="00F668C6">
      <w:pPr>
        <w:jc w:val="both"/>
      </w:pPr>
    </w:p>
    <w:p w14:paraId="09D60B08" w14:textId="0F5AC247" w:rsidR="002D0321" w:rsidRDefault="004A3ED2" w:rsidP="00F668C6">
      <w:pPr>
        <w:pStyle w:val="Heading1"/>
        <w:jc w:val="both"/>
      </w:pPr>
      <w:bookmarkStart w:id="69" w:name="_Toc121830952"/>
      <w:r>
        <w:t>6</w:t>
      </w:r>
      <w:r w:rsidR="002D0321">
        <w:t>. CONCLUSIONS</w:t>
      </w:r>
      <w:bookmarkEnd w:id="69"/>
      <w:r w:rsidR="002D0321">
        <w:t xml:space="preserve"> </w:t>
      </w:r>
    </w:p>
    <w:p w14:paraId="3376E343" w14:textId="07DF968B" w:rsidR="005B07B7" w:rsidRDefault="00015528" w:rsidP="00F668C6">
      <w:pPr>
        <w:jc w:val="both"/>
        <w:rPr>
          <w:szCs w:val="20"/>
        </w:rPr>
      </w:pPr>
      <w:r>
        <w:rPr>
          <w:szCs w:val="20"/>
        </w:rPr>
        <w:t xml:space="preserve">In </w:t>
      </w:r>
      <w:r w:rsidR="002D0321" w:rsidRPr="0042603A">
        <w:rPr>
          <w:szCs w:val="20"/>
        </w:rPr>
        <w:t xml:space="preserve">this </w:t>
      </w:r>
      <w:r w:rsidRPr="0042603A">
        <w:rPr>
          <w:szCs w:val="20"/>
        </w:rPr>
        <w:t>report the</w:t>
      </w:r>
      <w:r>
        <w:rPr>
          <w:szCs w:val="20"/>
        </w:rPr>
        <w:t xml:space="preserve"> </w:t>
      </w:r>
      <w:r w:rsidR="002D0321" w:rsidRPr="0042603A">
        <w:rPr>
          <w:szCs w:val="20"/>
        </w:rPr>
        <w:t>operating ranges of European gas grids</w:t>
      </w:r>
      <w:r>
        <w:rPr>
          <w:szCs w:val="20"/>
        </w:rPr>
        <w:t xml:space="preserve"> were presented together with a summary of </w:t>
      </w:r>
      <w:r>
        <w:rPr>
          <w:rFonts w:cstheme="minorHAnsi"/>
        </w:rPr>
        <w:t xml:space="preserve">the </w:t>
      </w:r>
      <w:r w:rsidRPr="00EF01F1">
        <w:rPr>
          <w:rFonts w:cstheme="minorHAnsi"/>
        </w:rPr>
        <w:t xml:space="preserve">plans for </w:t>
      </w:r>
      <w:r>
        <w:rPr>
          <w:rFonts w:cstheme="minorHAnsi"/>
        </w:rPr>
        <w:t xml:space="preserve">gas grid </w:t>
      </w:r>
      <w:r w:rsidRPr="00EF01F1">
        <w:rPr>
          <w:rFonts w:cstheme="minorHAnsi"/>
        </w:rPr>
        <w:t xml:space="preserve">decarbonisation across </w:t>
      </w:r>
      <w:r>
        <w:rPr>
          <w:rFonts w:cstheme="minorHAnsi"/>
        </w:rPr>
        <w:t xml:space="preserve">European </w:t>
      </w:r>
      <w:r w:rsidRPr="00EF01F1">
        <w:rPr>
          <w:rFonts w:cstheme="minorHAnsi"/>
        </w:rPr>
        <w:t>countr</w:t>
      </w:r>
      <w:r>
        <w:rPr>
          <w:rFonts w:cstheme="minorHAnsi"/>
        </w:rPr>
        <w:t>ies</w:t>
      </w:r>
      <w:r w:rsidR="002D0321" w:rsidRPr="0042603A">
        <w:rPr>
          <w:szCs w:val="20"/>
        </w:rPr>
        <w:t xml:space="preserve">. </w:t>
      </w:r>
      <w:r>
        <w:rPr>
          <w:szCs w:val="20"/>
        </w:rPr>
        <w:t>A</w:t>
      </w:r>
      <w:r w:rsidR="002D0321" w:rsidRPr="0042603A">
        <w:rPr>
          <w:szCs w:val="20"/>
        </w:rPr>
        <w:t xml:space="preserve"> literature review </w:t>
      </w:r>
      <w:r w:rsidR="00BD6B9C">
        <w:rPr>
          <w:szCs w:val="20"/>
        </w:rPr>
        <w:t>was</w:t>
      </w:r>
      <w:r w:rsidR="002D0321" w:rsidRPr="0042603A">
        <w:rPr>
          <w:szCs w:val="20"/>
        </w:rPr>
        <w:t xml:space="preserve"> conducted to provide an updated picture of how </w:t>
      </w:r>
      <w:r w:rsidR="00E73337">
        <w:rPr>
          <w:szCs w:val="20"/>
        </w:rPr>
        <w:t xml:space="preserve">different </w:t>
      </w:r>
      <w:r w:rsidR="002D0321" w:rsidRPr="0042603A">
        <w:rPr>
          <w:szCs w:val="20"/>
        </w:rPr>
        <w:t xml:space="preserve">stakeholders </w:t>
      </w:r>
      <w:r>
        <w:rPr>
          <w:szCs w:val="20"/>
        </w:rPr>
        <w:t>foresee</w:t>
      </w:r>
      <w:r w:rsidR="002D0321" w:rsidRPr="0042603A">
        <w:rPr>
          <w:szCs w:val="20"/>
        </w:rPr>
        <w:t xml:space="preserve"> the decarbonisation of the gas value chain</w:t>
      </w:r>
      <w:r>
        <w:rPr>
          <w:szCs w:val="20"/>
        </w:rPr>
        <w:t xml:space="preserve">. </w:t>
      </w:r>
      <w:r w:rsidR="002D0321" w:rsidRPr="0042603A">
        <w:rPr>
          <w:szCs w:val="20"/>
        </w:rPr>
        <w:t xml:space="preserve"> </w:t>
      </w:r>
      <w:r>
        <w:rPr>
          <w:szCs w:val="20"/>
        </w:rPr>
        <w:t xml:space="preserve">However, </w:t>
      </w:r>
      <w:r w:rsidR="002D0321" w:rsidRPr="0042603A">
        <w:rPr>
          <w:szCs w:val="20"/>
        </w:rPr>
        <w:t xml:space="preserve">due to the rapid evolvement of the sector and the upcoming changes in the legislative framework </w:t>
      </w:r>
      <w:r>
        <w:rPr>
          <w:szCs w:val="20"/>
        </w:rPr>
        <w:t>(</w:t>
      </w:r>
      <w:r w:rsidR="002D0321" w:rsidRPr="0042603A">
        <w:rPr>
          <w:szCs w:val="20"/>
        </w:rPr>
        <w:t>among others, by the Hydrogen and Decarbonised Gas Package</w:t>
      </w:r>
      <w:r>
        <w:rPr>
          <w:szCs w:val="20"/>
        </w:rPr>
        <w:t>)</w:t>
      </w:r>
      <w:r w:rsidR="00C96D90">
        <w:rPr>
          <w:szCs w:val="20"/>
        </w:rPr>
        <w:t xml:space="preserve"> </w:t>
      </w:r>
      <w:r w:rsidR="00E73337">
        <w:rPr>
          <w:szCs w:val="20"/>
        </w:rPr>
        <w:t xml:space="preserve">it </w:t>
      </w:r>
      <w:r w:rsidR="00C96D90">
        <w:rPr>
          <w:szCs w:val="20"/>
        </w:rPr>
        <w:t>is currently challenging to provide accurate predictions</w:t>
      </w:r>
      <w:r w:rsidR="005B07B7">
        <w:rPr>
          <w:szCs w:val="20"/>
        </w:rPr>
        <w:t xml:space="preserve"> of future developments</w:t>
      </w:r>
      <w:r w:rsidR="002D0321" w:rsidRPr="0042603A">
        <w:rPr>
          <w:szCs w:val="20"/>
        </w:rPr>
        <w:t xml:space="preserve">. Nevertheless, some </w:t>
      </w:r>
      <w:r w:rsidR="00062DE0">
        <w:rPr>
          <w:szCs w:val="20"/>
        </w:rPr>
        <w:t xml:space="preserve">clear </w:t>
      </w:r>
      <w:r w:rsidR="00721A36">
        <w:rPr>
          <w:szCs w:val="20"/>
        </w:rPr>
        <w:t>conclusions</w:t>
      </w:r>
      <w:r w:rsidR="00062DE0">
        <w:rPr>
          <w:szCs w:val="20"/>
        </w:rPr>
        <w:t xml:space="preserve"> </w:t>
      </w:r>
      <w:r w:rsidR="00721A36">
        <w:rPr>
          <w:szCs w:val="20"/>
        </w:rPr>
        <w:t>were identified</w:t>
      </w:r>
      <w:r w:rsidR="00C54782">
        <w:rPr>
          <w:szCs w:val="20"/>
        </w:rPr>
        <w:t xml:space="preserve"> and reported below</w:t>
      </w:r>
      <w:r w:rsidR="005B07B7">
        <w:rPr>
          <w:szCs w:val="20"/>
        </w:rPr>
        <w:t xml:space="preserve">. </w:t>
      </w:r>
    </w:p>
    <w:p w14:paraId="5B9B8593" w14:textId="74A7E3B0" w:rsidR="002D0321" w:rsidRPr="00BD6B9C" w:rsidRDefault="005B07B7" w:rsidP="00F668C6">
      <w:pPr>
        <w:jc w:val="both"/>
        <w:rPr>
          <w:szCs w:val="20"/>
        </w:rPr>
      </w:pPr>
      <w:r w:rsidRPr="00BD6B9C">
        <w:rPr>
          <w:szCs w:val="20"/>
        </w:rPr>
        <w:t>F</w:t>
      </w:r>
      <w:r w:rsidR="002D0321" w:rsidRPr="00BD6B9C">
        <w:rPr>
          <w:szCs w:val="20"/>
        </w:rPr>
        <w:t xml:space="preserve">or hydrogen </w:t>
      </w:r>
      <w:r w:rsidR="00721A36" w:rsidRPr="00BD6B9C">
        <w:rPr>
          <w:szCs w:val="20"/>
        </w:rPr>
        <w:t xml:space="preserve">injection </w:t>
      </w:r>
      <w:r w:rsidR="002D0321" w:rsidRPr="00BD6B9C">
        <w:rPr>
          <w:szCs w:val="20"/>
        </w:rPr>
        <w:t>concentration</w:t>
      </w:r>
      <w:r w:rsidR="00721A36" w:rsidRPr="00BD6B9C">
        <w:rPr>
          <w:szCs w:val="20"/>
        </w:rPr>
        <w:t xml:space="preserve"> in the</w:t>
      </w:r>
      <w:r w:rsidRPr="00BD6B9C">
        <w:rPr>
          <w:szCs w:val="20"/>
        </w:rPr>
        <w:t xml:space="preserve"> natural</w:t>
      </w:r>
      <w:r w:rsidR="00721A36" w:rsidRPr="00BD6B9C">
        <w:rPr>
          <w:szCs w:val="20"/>
        </w:rPr>
        <w:t xml:space="preserve"> gas</w:t>
      </w:r>
      <w:r w:rsidRPr="00BD6B9C">
        <w:rPr>
          <w:szCs w:val="20"/>
        </w:rPr>
        <w:t xml:space="preserve"> grid,</w:t>
      </w:r>
      <w:r w:rsidR="00721A36" w:rsidRPr="00BD6B9C">
        <w:rPr>
          <w:szCs w:val="20"/>
        </w:rPr>
        <w:t xml:space="preserve"> </w:t>
      </w:r>
      <w:r w:rsidRPr="00BD6B9C">
        <w:rPr>
          <w:szCs w:val="20"/>
        </w:rPr>
        <w:t>it is concluded that</w:t>
      </w:r>
      <w:r w:rsidR="002D0321" w:rsidRPr="00BD6B9C">
        <w:rPr>
          <w:szCs w:val="20"/>
        </w:rPr>
        <w:t>:</w:t>
      </w:r>
    </w:p>
    <w:p w14:paraId="12597444" w14:textId="361A2734" w:rsidR="00F22800" w:rsidRPr="00BD6DD6" w:rsidRDefault="002D0321" w:rsidP="1F678F65">
      <w:pPr>
        <w:pStyle w:val="ListParagraph"/>
        <w:numPr>
          <w:ilvl w:val="0"/>
          <w:numId w:val="23"/>
        </w:numPr>
        <w:jc w:val="both"/>
        <w:rPr>
          <w:rFonts w:asciiTheme="minorHAnsi" w:eastAsiaTheme="minorEastAsia" w:hAnsiTheme="minorHAnsi"/>
          <w:lang w:val="en-GB"/>
        </w:rPr>
      </w:pPr>
      <w:r w:rsidRPr="00BD6DD6">
        <w:rPr>
          <w:rFonts w:asciiTheme="minorHAnsi" w:eastAsiaTheme="minorEastAsia" w:hAnsiTheme="minorHAnsi"/>
          <w:lang w:val="en-GB"/>
        </w:rPr>
        <w:t>2 vol</w:t>
      </w:r>
      <w:r w:rsidR="00721A36" w:rsidRPr="00BD6DD6">
        <w:rPr>
          <w:rFonts w:asciiTheme="minorHAnsi" w:eastAsiaTheme="minorEastAsia" w:hAnsiTheme="minorHAnsi"/>
          <w:lang w:val="en-GB"/>
        </w:rPr>
        <w:t xml:space="preserve"> </w:t>
      </w:r>
      <w:r w:rsidRPr="00BD6DD6">
        <w:rPr>
          <w:rFonts w:asciiTheme="minorHAnsi" w:eastAsiaTheme="minorEastAsia" w:hAnsiTheme="minorHAnsi"/>
          <w:lang w:val="en-GB"/>
        </w:rPr>
        <w:t xml:space="preserve">% </w:t>
      </w:r>
      <w:r w:rsidR="0062777E" w:rsidRPr="00BD6DD6">
        <w:rPr>
          <w:rFonts w:asciiTheme="minorHAnsi" w:eastAsiaTheme="minorEastAsia" w:hAnsiTheme="minorHAnsi"/>
          <w:lang w:val="en-GB"/>
        </w:rPr>
        <w:t>h</w:t>
      </w:r>
      <w:r w:rsidRPr="00BD6DD6">
        <w:rPr>
          <w:rFonts w:asciiTheme="minorHAnsi" w:eastAsiaTheme="minorEastAsia" w:hAnsiTheme="minorHAnsi"/>
          <w:lang w:val="en-GB"/>
        </w:rPr>
        <w:t xml:space="preserve">ydrogen </w:t>
      </w:r>
      <w:proofErr w:type="gramStart"/>
      <w:r w:rsidR="0062777E" w:rsidRPr="00BD6DD6">
        <w:rPr>
          <w:rFonts w:asciiTheme="minorHAnsi" w:eastAsiaTheme="minorEastAsia" w:hAnsiTheme="minorHAnsi"/>
          <w:lang w:val="en-GB"/>
        </w:rPr>
        <w:t>content</w:t>
      </w:r>
      <w:proofErr w:type="gramEnd"/>
      <w:r w:rsidRPr="00BD6DD6">
        <w:rPr>
          <w:rFonts w:asciiTheme="minorHAnsi" w:eastAsiaTheme="minorEastAsia" w:hAnsiTheme="minorHAnsi"/>
          <w:lang w:val="en-GB"/>
        </w:rPr>
        <w:t xml:space="preserve"> could be handled </w:t>
      </w:r>
      <w:r w:rsidR="00C46B88" w:rsidRPr="00BD6DD6">
        <w:rPr>
          <w:rFonts w:asciiTheme="minorHAnsi" w:eastAsiaTheme="minorEastAsia" w:hAnsiTheme="minorHAnsi"/>
          <w:lang w:val="en-GB"/>
        </w:rPr>
        <w:t xml:space="preserve">by the gas network, including </w:t>
      </w:r>
      <w:r w:rsidRPr="00BD6DD6">
        <w:rPr>
          <w:rFonts w:asciiTheme="minorHAnsi" w:eastAsiaTheme="minorEastAsia" w:hAnsiTheme="minorHAnsi"/>
          <w:lang w:val="en-GB"/>
        </w:rPr>
        <w:t>sensitive industrial processes, like acetylene production and CNG stations.</w:t>
      </w:r>
    </w:p>
    <w:p w14:paraId="5B1ED036" w14:textId="61F865C3" w:rsidR="00F22800" w:rsidRPr="00BD6DD6" w:rsidRDefault="002D0321" w:rsidP="00F668C6">
      <w:pPr>
        <w:pStyle w:val="ListParagraph"/>
        <w:numPr>
          <w:ilvl w:val="0"/>
          <w:numId w:val="23"/>
        </w:numPr>
        <w:jc w:val="both"/>
        <w:rPr>
          <w:szCs w:val="20"/>
          <w:lang w:val="en-GB"/>
        </w:rPr>
      </w:pPr>
      <w:r w:rsidRPr="00BD6DD6">
        <w:rPr>
          <w:rFonts w:asciiTheme="minorHAnsi" w:hAnsiTheme="minorHAnsi" w:cstheme="minorHAnsi"/>
          <w:szCs w:val="20"/>
          <w:lang w:val="en-GB"/>
        </w:rPr>
        <w:t>5 vol</w:t>
      </w:r>
      <w:r w:rsidR="0062777E" w:rsidRPr="00BD6DD6">
        <w:rPr>
          <w:rFonts w:asciiTheme="minorHAnsi" w:hAnsiTheme="minorHAnsi" w:cstheme="minorHAnsi"/>
          <w:szCs w:val="20"/>
          <w:lang w:val="en-GB"/>
        </w:rPr>
        <w:t xml:space="preserve"> </w:t>
      </w:r>
      <w:r w:rsidRPr="00BD6DD6">
        <w:rPr>
          <w:rFonts w:asciiTheme="minorHAnsi" w:hAnsiTheme="minorHAnsi" w:cstheme="minorHAnsi"/>
          <w:szCs w:val="20"/>
          <w:lang w:val="en-GB"/>
        </w:rPr>
        <w:t>%</w:t>
      </w:r>
      <w:r w:rsidR="0062777E" w:rsidRPr="00BD6DD6">
        <w:rPr>
          <w:rFonts w:asciiTheme="minorHAnsi" w:hAnsiTheme="minorHAnsi" w:cstheme="minorHAnsi"/>
          <w:szCs w:val="20"/>
          <w:lang w:val="en-GB"/>
        </w:rPr>
        <w:t xml:space="preserve"> h</w:t>
      </w:r>
      <w:r w:rsidRPr="00BD6DD6">
        <w:rPr>
          <w:rFonts w:asciiTheme="minorHAnsi" w:hAnsiTheme="minorHAnsi" w:cstheme="minorHAnsi"/>
          <w:szCs w:val="20"/>
          <w:lang w:val="en-GB"/>
        </w:rPr>
        <w:t xml:space="preserve">ydrogen </w:t>
      </w:r>
      <w:proofErr w:type="gramStart"/>
      <w:r w:rsidR="00541997" w:rsidRPr="00BD6DD6">
        <w:rPr>
          <w:rFonts w:asciiTheme="minorHAnsi" w:hAnsiTheme="minorHAnsi" w:cstheme="minorHAnsi"/>
          <w:szCs w:val="20"/>
          <w:lang w:val="en-GB"/>
        </w:rPr>
        <w:t>content</w:t>
      </w:r>
      <w:proofErr w:type="gramEnd"/>
      <w:r w:rsidRPr="00BD6DD6">
        <w:rPr>
          <w:rFonts w:asciiTheme="minorHAnsi" w:hAnsiTheme="minorHAnsi" w:cstheme="minorHAnsi"/>
          <w:szCs w:val="20"/>
          <w:lang w:val="en-GB"/>
        </w:rPr>
        <w:t xml:space="preserve"> should be accepted by </w:t>
      </w:r>
      <w:r w:rsidR="00541997" w:rsidRPr="00BD6DD6">
        <w:rPr>
          <w:rFonts w:asciiTheme="minorHAnsi" w:hAnsiTheme="minorHAnsi" w:cstheme="minorHAnsi"/>
          <w:szCs w:val="20"/>
          <w:lang w:val="en-GB"/>
        </w:rPr>
        <w:t>Transmission System Operators (</w:t>
      </w:r>
      <w:r w:rsidRPr="00BD6DD6">
        <w:rPr>
          <w:rFonts w:asciiTheme="minorHAnsi" w:hAnsiTheme="minorHAnsi" w:cstheme="minorHAnsi"/>
          <w:szCs w:val="20"/>
          <w:lang w:val="en-GB"/>
        </w:rPr>
        <w:t>TSOs</w:t>
      </w:r>
      <w:r w:rsidR="00541997" w:rsidRPr="00BD6DD6">
        <w:rPr>
          <w:rFonts w:asciiTheme="minorHAnsi" w:hAnsiTheme="minorHAnsi" w:cstheme="minorHAnsi"/>
          <w:szCs w:val="20"/>
          <w:lang w:val="en-GB"/>
        </w:rPr>
        <w:t>)</w:t>
      </w:r>
      <w:r w:rsidRPr="00BD6DD6">
        <w:rPr>
          <w:rFonts w:asciiTheme="minorHAnsi" w:hAnsiTheme="minorHAnsi" w:cstheme="minorHAnsi"/>
          <w:szCs w:val="20"/>
          <w:lang w:val="en-GB"/>
        </w:rPr>
        <w:t xml:space="preserve"> at interconnection points between the Union Member States from 1 October 2025, according to the Proposal for a Regulation of the European Parliament and of the Council on the internal markets for renewable and natural gases and for hydrogen</w:t>
      </w:r>
      <w:r w:rsidRPr="00BD6DD6">
        <w:rPr>
          <w:szCs w:val="20"/>
          <w:lang w:val="en-GB"/>
        </w:rPr>
        <w:t>.</w:t>
      </w:r>
    </w:p>
    <w:p w14:paraId="0BED2CE4" w14:textId="4A431A57" w:rsidR="00F22800" w:rsidRPr="00BD6DD6" w:rsidRDefault="002D0321" w:rsidP="00F668C6">
      <w:pPr>
        <w:pStyle w:val="ListParagraph"/>
        <w:numPr>
          <w:ilvl w:val="0"/>
          <w:numId w:val="23"/>
        </w:numPr>
        <w:jc w:val="both"/>
        <w:rPr>
          <w:rFonts w:ascii="Calibri" w:hAnsi="Calibri" w:cs="Calibri"/>
          <w:szCs w:val="20"/>
          <w:lang w:val="en-GB"/>
        </w:rPr>
      </w:pPr>
      <w:r w:rsidRPr="00BD6DD6">
        <w:rPr>
          <w:rFonts w:ascii="Calibri" w:hAnsi="Calibri" w:cs="Calibri"/>
          <w:szCs w:val="20"/>
          <w:lang w:val="en-GB"/>
        </w:rPr>
        <w:t>10</w:t>
      </w:r>
      <w:r w:rsidR="003A2F3E" w:rsidRPr="00BD6DD6">
        <w:rPr>
          <w:rFonts w:ascii="Calibri" w:hAnsi="Calibri" w:cs="Calibri"/>
          <w:szCs w:val="20"/>
          <w:lang w:val="en-GB"/>
        </w:rPr>
        <w:t xml:space="preserve"> </w:t>
      </w:r>
      <w:r w:rsidRPr="00BD6DD6">
        <w:rPr>
          <w:rFonts w:ascii="Calibri" w:hAnsi="Calibri" w:cs="Calibri"/>
          <w:szCs w:val="20"/>
          <w:lang w:val="en-GB"/>
        </w:rPr>
        <w:t>vol</w:t>
      </w:r>
      <w:r w:rsidR="00541997" w:rsidRPr="00BD6DD6">
        <w:rPr>
          <w:rFonts w:ascii="Calibri" w:hAnsi="Calibri" w:cs="Calibri"/>
          <w:szCs w:val="20"/>
          <w:lang w:val="en-GB"/>
        </w:rPr>
        <w:t xml:space="preserve"> % hydrogen</w:t>
      </w:r>
      <w:r w:rsidRPr="00BD6DD6">
        <w:rPr>
          <w:rFonts w:ascii="Calibri" w:hAnsi="Calibri" w:cs="Calibri"/>
          <w:szCs w:val="20"/>
          <w:lang w:val="en-GB"/>
        </w:rPr>
        <w:t xml:space="preserve"> </w:t>
      </w:r>
      <w:proofErr w:type="gramStart"/>
      <w:r w:rsidRPr="00BD6DD6">
        <w:rPr>
          <w:rFonts w:ascii="Calibri" w:hAnsi="Calibri" w:cs="Calibri"/>
          <w:szCs w:val="20"/>
          <w:lang w:val="en-GB"/>
        </w:rPr>
        <w:t>content</w:t>
      </w:r>
      <w:proofErr w:type="gramEnd"/>
      <w:r w:rsidRPr="00BD6DD6">
        <w:rPr>
          <w:rFonts w:ascii="Calibri" w:hAnsi="Calibri" w:cs="Calibri"/>
          <w:szCs w:val="20"/>
          <w:lang w:val="en-GB"/>
        </w:rPr>
        <w:t xml:space="preserve"> could be generally accepted and fulfils current limits in relative density, High Heating Value (HHV) or </w:t>
      </w:r>
      <w:proofErr w:type="spellStart"/>
      <w:r w:rsidRPr="00BD6DD6">
        <w:rPr>
          <w:rFonts w:ascii="Calibri" w:hAnsi="Calibri" w:cs="Calibri"/>
          <w:szCs w:val="20"/>
          <w:lang w:val="en-GB"/>
        </w:rPr>
        <w:t>Wobbe</w:t>
      </w:r>
      <w:proofErr w:type="spellEnd"/>
      <w:r w:rsidRPr="00BD6DD6">
        <w:rPr>
          <w:rFonts w:ascii="Calibri" w:hAnsi="Calibri" w:cs="Calibri"/>
          <w:szCs w:val="20"/>
          <w:lang w:val="en-GB"/>
        </w:rPr>
        <w:t xml:space="preserve"> Index (WI) defined in European Standard</w:t>
      </w:r>
      <w:r w:rsidR="00541997" w:rsidRPr="00BD6DD6">
        <w:rPr>
          <w:rFonts w:ascii="Calibri" w:hAnsi="Calibri" w:cs="Calibri"/>
          <w:szCs w:val="20"/>
          <w:lang w:val="en-GB"/>
        </w:rPr>
        <w:t>s</w:t>
      </w:r>
      <w:r w:rsidRPr="00BD6DD6">
        <w:rPr>
          <w:rFonts w:ascii="Calibri" w:hAnsi="Calibri" w:cs="Calibri"/>
          <w:szCs w:val="20"/>
          <w:lang w:val="en-GB"/>
        </w:rPr>
        <w:t xml:space="preserve"> and EASEE-gas CBP. Additionally, this </w:t>
      </w:r>
      <w:r w:rsidR="00541997" w:rsidRPr="00BD6DD6">
        <w:rPr>
          <w:rFonts w:ascii="Calibri" w:hAnsi="Calibri" w:cs="Calibri"/>
          <w:szCs w:val="20"/>
          <w:lang w:val="en-GB"/>
        </w:rPr>
        <w:t xml:space="preserve">is the </w:t>
      </w:r>
      <w:r w:rsidRPr="00BD6DD6">
        <w:rPr>
          <w:rFonts w:ascii="Calibri" w:hAnsi="Calibri" w:cs="Calibri"/>
          <w:szCs w:val="20"/>
          <w:lang w:val="en-GB"/>
        </w:rPr>
        <w:t xml:space="preserve">hydrogen content expected in the short/mid-term scenario (2025-2030) by relevant stakeholders of the gas value chain </w:t>
      </w:r>
      <w:r w:rsidRPr="00BD6DD6">
        <w:rPr>
          <w:rFonts w:ascii="Calibri" w:hAnsi="Calibri" w:cs="Calibri"/>
          <w:b/>
          <w:bCs/>
          <w:color w:val="4472C4" w:themeColor="accent1"/>
          <w:szCs w:val="20"/>
          <w:lang w:val="en-GB"/>
        </w:rPr>
        <w:t>[8] [9]</w:t>
      </w:r>
      <w:r w:rsidRPr="00BD6DD6">
        <w:rPr>
          <w:rFonts w:ascii="Calibri" w:hAnsi="Calibri" w:cs="Calibri"/>
          <w:szCs w:val="20"/>
          <w:lang w:val="en-GB"/>
        </w:rPr>
        <w:t>.</w:t>
      </w:r>
    </w:p>
    <w:p w14:paraId="39FA9D31" w14:textId="71E6B6C5" w:rsidR="00F22800" w:rsidRPr="00BD6DD6" w:rsidRDefault="002D0321" w:rsidP="00F668C6">
      <w:pPr>
        <w:pStyle w:val="ListParagraph"/>
        <w:numPr>
          <w:ilvl w:val="0"/>
          <w:numId w:val="23"/>
        </w:numPr>
        <w:jc w:val="both"/>
        <w:rPr>
          <w:rFonts w:ascii="Calibri" w:hAnsi="Calibri" w:cs="Calibri"/>
          <w:szCs w:val="20"/>
          <w:lang w:val="en-GB"/>
        </w:rPr>
      </w:pPr>
      <w:r w:rsidRPr="00BD6DD6">
        <w:rPr>
          <w:rFonts w:ascii="Calibri" w:hAnsi="Calibri" w:cs="Calibri"/>
          <w:szCs w:val="20"/>
          <w:lang w:val="en-GB"/>
        </w:rPr>
        <w:t>20 vol</w:t>
      </w:r>
      <w:r w:rsidR="00541997" w:rsidRPr="00BD6DD6">
        <w:rPr>
          <w:rFonts w:ascii="Calibri" w:hAnsi="Calibri" w:cs="Calibri"/>
          <w:szCs w:val="20"/>
          <w:lang w:val="en-GB"/>
        </w:rPr>
        <w:t xml:space="preserve"> </w:t>
      </w:r>
      <w:r w:rsidRPr="00BD6DD6">
        <w:rPr>
          <w:rFonts w:ascii="Calibri" w:hAnsi="Calibri" w:cs="Calibri"/>
          <w:szCs w:val="20"/>
          <w:lang w:val="en-GB"/>
        </w:rPr>
        <w:t xml:space="preserve">% </w:t>
      </w:r>
      <w:r w:rsidR="00541997" w:rsidRPr="00BD6DD6">
        <w:rPr>
          <w:rFonts w:ascii="Calibri" w:hAnsi="Calibri" w:cs="Calibri"/>
          <w:szCs w:val="20"/>
          <w:lang w:val="en-GB"/>
        </w:rPr>
        <w:t>h</w:t>
      </w:r>
      <w:r w:rsidRPr="00BD6DD6">
        <w:rPr>
          <w:rFonts w:ascii="Calibri" w:hAnsi="Calibri" w:cs="Calibri"/>
          <w:szCs w:val="20"/>
          <w:lang w:val="en-GB"/>
        </w:rPr>
        <w:t>ydrogen</w:t>
      </w:r>
      <w:r w:rsidR="00541997" w:rsidRPr="00BD6DD6">
        <w:rPr>
          <w:rFonts w:ascii="Calibri" w:hAnsi="Calibri" w:cs="Calibri"/>
          <w:szCs w:val="20"/>
          <w:lang w:val="en-GB"/>
        </w:rPr>
        <w:t xml:space="preserve"> content</w:t>
      </w:r>
      <w:r w:rsidRPr="00BD6DD6">
        <w:rPr>
          <w:rFonts w:ascii="Calibri" w:hAnsi="Calibri" w:cs="Calibri"/>
          <w:szCs w:val="20"/>
          <w:lang w:val="en-GB"/>
        </w:rPr>
        <w:t xml:space="preserve"> </w:t>
      </w:r>
      <w:r w:rsidR="00541997" w:rsidRPr="00BD6DD6">
        <w:rPr>
          <w:rFonts w:ascii="Calibri" w:hAnsi="Calibri" w:cs="Calibri"/>
          <w:szCs w:val="20"/>
          <w:lang w:val="en-GB"/>
        </w:rPr>
        <w:t xml:space="preserve">is </w:t>
      </w:r>
      <w:r w:rsidRPr="00BD6DD6">
        <w:rPr>
          <w:rFonts w:ascii="Calibri" w:hAnsi="Calibri" w:cs="Calibri"/>
          <w:szCs w:val="20"/>
          <w:lang w:val="en-GB"/>
        </w:rPr>
        <w:t xml:space="preserve">expected in </w:t>
      </w:r>
      <w:r w:rsidR="00541997" w:rsidRPr="00BD6DD6">
        <w:rPr>
          <w:rFonts w:ascii="Calibri" w:hAnsi="Calibri" w:cs="Calibri"/>
          <w:szCs w:val="20"/>
          <w:lang w:val="en-GB"/>
        </w:rPr>
        <w:t xml:space="preserve">the </w:t>
      </w:r>
      <w:r w:rsidRPr="00BD6DD6">
        <w:rPr>
          <w:rFonts w:ascii="Calibri" w:hAnsi="Calibri" w:cs="Calibri"/>
          <w:szCs w:val="20"/>
          <w:lang w:val="en-GB"/>
        </w:rPr>
        <w:t xml:space="preserve">mid-term scenario (2030-2040) by relevant stakeholders of the gas value chain </w:t>
      </w:r>
      <w:r w:rsidRPr="00BD6DD6">
        <w:rPr>
          <w:rFonts w:ascii="Calibri" w:hAnsi="Calibri" w:cs="Calibri"/>
          <w:b/>
          <w:bCs/>
          <w:color w:val="4472C4" w:themeColor="accent1"/>
          <w:szCs w:val="20"/>
          <w:lang w:val="en-GB"/>
        </w:rPr>
        <w:t>[8] [9]</w:t>
      </w:r>
      <w:r w:rsidRPr="00BD6DD6">
        <w:rPr>
          <w:rFonts w:ascii="Calibri" w:hAnsi="Calibri" w:cs="Calibri"/>
          <w:szCs w:val="20"/>
          <w:lang w:val="en-GB"/>
        </w:rPr>
        <w:t>.</w:t>
      </w:r>
    </w:p>
    <w:p w14:paraId="0D60D946" w14:textId="24DFD4FC" w:rsidR="002D0321" w:rsidRPr="00BD6DD6" w:rsidRDefault="002D0321" w:rsidP="00DF64FE">
      <w:pPr>
        <w:pStyle w:val="ListParagraph"/>
        <w:numPr>
          <w:ilvl w:val="0"/>
          <w:numId w:val="23"/>
        </w:numPr>
        <w:jc w:val="both"/>
        <w:rPr>
          <w:rFonts w:ascii="Calibri" w:hAnsi="Calibri" w:cs="Calibri"/>
          <w:szCs w:val="20"/>
          <w:lang w:val="en-GB"/>
        </w:rPr>
      </w:pPr>
      <w:r w:rsidRPr="00BD6DD6">
        <w:rPr>
          <w:rFonts w:ascii="Calibri" w:hAnsi="Calibri" w:cs="Calibri"/>
          <w:szCs w:val="20"/>
          <w:lang w:val="en-GB"/>
        </w:rPr>
        <w:t>100 vol</w:t>
      </w:r>
      <w:r w:rsidR="00541997" w:rsidRPr="00BD6DD6">
        <w:rPr>
          <w:rFonts w:ascii="Calibri" w:hAnsi="Calibri" w:cs="Calibri"/>
          <w:szCs w:val="20"/>
          <w:lang w:val="en-GB"/>
        </w:rPr>
        <w:t xml:space="preserve"> </w:t>
      </w:r>
      <w:r w:rsidRPr="00BD6DD6">
        <w:rPr>
          <w:rFonts w:ascii="Calibri" w:hAnsi="Calibri" w:cs="Calibri"/>
          <w:szCs w:val="20"/>
          <w:lang w:val="en-GB"/>
        </w:rPr>
        <w:t>%</w:t>
      </w:r>
      <w:r w:rsidR="00541997" w:rsidRPr="00BD6DD6">
        <w:rPr>
          <w:rFonts w:ascii="Calibri" w:hAnsi="Calibri" w:cs="Calibri"/>
          <w:szCs w:val="20"/>
          <w:lang w:val="en-GB"/>
        </w:rPr>
        <w:t xml:space="preserve"> hydrogen </w:t>
      </w:r>
      <w:r w:rsidR="003A2F3E" w:rsidRPr="00BD6DD6">
        <w:rPr>
          <w:rFonts w:ascii="Calibri" w:hAnsi="Calibri" w:cs="Calibri"/>
          <w:szCs w:val="20"/>
          <w:lang w:val="en-GB"/>
        </w:rPr>
        <w:t>appears to be</w:t>
      </w:r>
      <w:r w:rsidR="00541997" w:rsidRPr="00BD6DD6">
        <w:rPr>
          <w:rFonts w:ascii="Calibri" w:hAnsi="Calibri" w:cs="Calibri"/>
          <w:szCs w:val="20"/>
          <w:lang w:val="en-GB"/>
        </w:rPr>
        <w:t xml:space="preserve"> a longer-term </w:t>
      </w:r>
      <w:r w:rsidRPr="00BD6DD6">
        <w:rPr>
          <w:rFonts w:ascii="Calibri" w:hAnsi="Calibri" w:cs="Calibri"/>
          <w:szCs w:val="20"/>
          <w:lang w:val="en-GB"/>
        </w:rPr>
        <w:t>expect</w:t>
      </w:r>
      <w:r w:rsidR="00541997" w:rsidRPr="00BD6DD6">
        <w:rPr>
          <w:rFonts w:ascii="Calibri" w:hAnsi="Calibri" w:cs="Calibri"/>
          <w:szCs w:val="20"/>
          <w:lang w:val="en-GB"/>
        </w:rPr>
        <w:t>ation</w:t>
      </w:r>
      <w:r w:rsidRPr="00BD6DD6">
        <w:rPr>
          <w:rFonts w:ascii="Calibri" w:hAnsi="Calibri" w:cs="Calibri"/>
          <w:szCs w:val="20"/>
          <w:lang w:val="en-GB"/>
        </w:rPr>
        <w:t xml:space="preserve"> </w:t>
      </w:r>
      <w:r w:rsidR="00541997" w:rsidRPr="00BD6DD6">
        <w:rPr>
          <w:rFonts w:ascii="Calibri" w:hAnsi="Calibri" w:cs="Calibri"/>
          <w:szCs w:val="20"/>
          <w:lang w:val="en-GB"/>
        </w:rPr>
        <w:t>that requires</w:t>
      </w:r>
      <w:r w:rsidRPr="00BD6DD6">
        <w:rPr>
          <w:rFonts w:ascii="Calibri" w:hAnsi="Calibri" w:cs="Calibri"/>
          <w:szCs w:val="20"/>
          <w:lang w:val="en-GB"/>
        </w:rPr>
        <w:t xml:space="preserve"> repurposed or new hydrogen dedicated </w:t>
      </w:r>
      <w:r w:rsidR="00541997" w:rsidRPr="00BD6DD6">
        <w:rPr>
          <w:rFonts w:ascii="Calibri" w:hAnsi="Calibri" w:cs="Calibri"/>
          <w:szCs w:val="20"/>
          <w:lang w:val="en-GB"/>
        </w:rPr>
        <w:t xml:space="preserve">gas </w:t>
      </w:r>
      <w:r w:rsidRPr="00BD6DD6">
        <w:rPr>
          <w:rFonts w:ascii="Calibri" w:hAnsi="Calibri" w:cs="Calibri"/>
          <w:szCs w:val="20"/>
          <w:lang w:val="en-GB"/>
        </w:rPr>
        <w:t xml:space="preserve">grid. </w:t>
      </w:r>
      <w:r w:rsidR="00541997" w:rsidRPr="00BD6DD6">
        <w:rPr>
          <w:rFonts w:ascii="Calibri" w:hAnsi="Calibri" w:cs="Calibri"/>
          <w:szCs w:val="20"/>
          <w:lang w:val="en-GB"/>
        </w:rPr>
        <w:t>However, t</w:t>
      </w:r>
      <w:r w:rsidRPr="00BD6DD6">
        <w:rPr>
          <w:rFonts w:ascii="Calibri" w:hAnsi="Calibri" w:cs="Calibri"/>
          <w:szCs w:val="20"/>
          <w:lang w:val="en-GB"/>
        </w:rPr>
        <w:t xml:space="preserve">he repurposing of natural gas pipelines into dedicated hydrogen networks is already materialising in some Member States and can be a reality in few </w:t>
      </w:r>
      <w:r w:rsidR="00541997" w:rsidRPr="00BD6DD6">
        <w:rPr>
          <w:rFonts w:ascii="Calibri" w:hAnsi="Calibri" w:cs="Calibri"/>
          <w:szCs w:val="20"/>
          <w:lang w:val="en-GB"/>
        </w:rPr>
        <w:t>years’ time</w:t>
      </w:r>
      <w:r w:rsidRPr="00BD6DD6">
        <w:rPr>
          <w:rFonts w:ascii="Calibri" w:hAnsi="Calibri" w:cs="Calibri"/>
          <w:szCs w:val="20"/>
          <w:lang w:val="en-GB"/>
        </w:rPr>
        <w:t>.</w:t>
      </w:r>
    </w:p>
    <w:p w14:paraId="71DD3C7B" w14:textId="786D049C" w:rsidR="004E4801" w:rsidRPr="00BD6B9C" w:rsidRDefault="004E4801" w:rsidP="00DF64FE">
      <w:pPr>
        <w:spacing w:before="240"/>
        <w:jc w:val="both"/>
        <w:rPr>
          <w:b/>
          <w:bCs/>
          <w:szCs w:val="20"/>
        </w:rPr>
      </w:pPr>
      <w:r w:rsidRPr="00BD6B9C">
        <w:rPr>
          <w:b/>
          <w:bCs/>
          <w:szCs w:val="20"/>
        </w:rPr>
        <w:t xml:space="preserve">It is concluded that </w:t>
      </w:r>
      <w:r w:rsidR="00BD6B9C">
        <w:rPr>
          <w:b/>
          <w:bCs/>
          <w:szCs w:val="20"/>
        </w:rPr>
        <w:t xml:space="preserve">it </w:t>
      </w:r>
      <w:r w:rsidRPr="00BD6B9C">
        <w:rPr>
          <w:b/>
          <w:bCs/>
          <w:szCs w:val="20"/>
        </w:rPr>
        <w:t xml:space="preserve">would be </w:t>
      </w:r>
      <w:r w:rsidR="00BD6B9C">
        <w:rPr>
          <w:b/>
          <w:bCs/>
          <w:szCs w:val="20"/>
        </w:rPr>
        <w:t>relevant</w:t>
      </w:r>
      <w:r w:rsidRPr="00BD6B9C">
        <w:rPr>
          <w:b/>
          <w:bCs/>
          <w:szCs w:val="20"/>
        </w:rPr>
        <w:t xml:space="preserve"> to test flow meters up to 20 vol % hydrogen content and at 100 vol % hydrogen </w:t>
      </w:r>
      <w:proofErr w:type="gramStart"/>
      <w:r w:rsidRPr="00BD6B9C">
        <w:rPr>
          <w:b/>
          <w:bCs/>
          <w:szCs w:val="20"/>
        </w:rPr>
        <w:t>content</w:t>
      </w:r>
      <w:proofErr w:type="gramEnd"/>
      <w:r w:rsidRPr="00BD6B9C">
        <w:rPr>
          <w:b/>
          <w:bCs/>
          <w:szCs w:val="20"/>
        </w:rPr>
        <w:t xml:space="preserve"> as part of Work Package (WP) 1 ‘Flow Metering’ of the EMPIR Metrology for Decarbonising the Gas Grid project (Decarb project).</w:t>
      </w:r>
    </w:p>
    <w:p w14:paraId="668CE03E" w14:textId="63F345CC" w:rsidR="00A90221" w:rsidRDefault="002D0321" w:rsidP="00A90221">
      <w:pPr>
        <w:jc w:val="both"/>
        <w:rPr>
          <w:szCs w:val="20"/>
        </w:rPr>
      </w:pPr>
      <w:r w:rsidRPr="0042603A">
        <w:rPr>
          <w:szCs w:val="20"/>
        </w:rPr>
        <w:t xml:space="preserve">Typical values of domestic, distribution and transmission grid pressure </w:t>
      </w:r>
      <w:r w:rsidR="00A90221">
        <w:rPr>
          <w:szCs w:val="20"/>
        </w:rPr>
        <w:t>were identified as follow:</w:t>
      </w:r>
      <w:r w:rsidR="00A90221" w:rsidRPr="00A90221">
        <w:rPr>
          <w:szCs w:val="20"/>
        </w:rPr>
        <w:t xml:space="preserve"> </w:t>
      </w:r>
    </w:p>
    <w:p w14:paraId="06C99B73" w14:textId="5DB6CD4D" w:rsidR="00A90221" w:rsidRPr="00A90221" w:rsidRDefault="00A90221" w:rsidP="00A90221">
      <w:pPr>
        <w:pStyle w:val="ListParagraph"/>
        <w:numPr>
          <w:ilvl w:val="0"/>
          <w:numId w:val="21"/>
        </w:numPr>
        <w:jc w:val="both"/>
        <w:rPr>
          <w:szCs w:val="20"/>
        </w:rPr>
      </w:pPr>
      <w:r>
        <w:rPr>
          <w:rFonts w:asciiTheme="minorHAnsi" w:hAnsiTheme="minorHAnsi" w:cstheme="minorHAnsi"/>
          <w:szCs w:val="20"/>
        </w:rPr>
        <w:t xml:space="preserve">20 </w:t>
      </w:r>
      <w:proofErr w:type="spellStart"/>
      <w:r>
        <w:rPr>
          <w:rFonts w:asciiTheme="minorHAnsi" w:hAnsiTheme="minorHAnsi" w:cstheme="minorHAnsi"/>
          <w:szCs w:val="20"/>
        </w:rPr>
        <w:t>to</w:t>
      </w:r>
      <w:proofErr w:type="spellEnd"/>
      <w:r>
        <w:rPr>
          <w:rFonts w:asciiTheme="minorHAnsi" w:hAnsiTheme="minorHAnsi" w:cstheme="minorHAnsi"/>
          <w:szCs w:val="20"/>
        </w:rPr>
        <w:t xml:space="preserve"> 25 mbar </w:t>
      </w:r>
      <w:r w:rsidR="001B434B">
        <w:rPr>
          <w:rFonts w:asciiTheme="minorHAnsi" w:hAnsiTheme="minorHAnsi" w:cstheme="minorHAnsi"/>
          <w:szCs w:val="20"/>
        </w:rPr>
        <w:t xml:space="preserve">for </w:t>
      </w:r>
      <w:proofErr w:type="spellStart"/>
      <w:r w:rsidR="001B434B">
        <w:rPr>
          <w:rFonts w:asciiTheme="minorHAnsi" w:hAnsiTheme="minorHAnsi" w:cstheme="minorHAnsi"/>
          <w:szCs w:val="20"/>
        </w:rPr>
        <w:t>domestic</w:t>
      </w:r>
      <w:proofErr w:type="spellEnd"/>
      <w:r w:rsidR="001B434B">
        <w:rPr>
          <w:rFonts w:asciiTheme="minorHAnsi" w:hAnsiTheme="minorHAnsi" w:cstheme="minorHAnsi"/>
          <w:szCs w:val="20"/>
        </w:rPr>
        <w:t xml:space="preserve"> use</w:t>
      </w:r>
    </w:p>
    <w:p w14:paraId="362192FB" w14:textId="260CEED6" w:rsidR="00A90221" w:rsidRPr="00BD6DD6" w:rsidRDefault="00A90221" w:rsidP="00A90221">
      <w:pPr>
        <w:pStyle w:val="ListParagraph"/>
        <w:numPr>
          <w:ilvl w:val="0"/>
          <w:numId w:val="21"/>
        </w:numPr>
        <w:jc w:val="both"/>
        <w:rPr>
          <w:szCs w:val="20"/>
          <w:lang w:val="en-GB"/>
        </w:rPr>
      </w:pPr>
      <w:r w:rsidRPr="00BD6DD6">
        <w:rPr>
          <w:rFonts w:asciiTheme="minorHAnsi" w:hAnsiTheme="minorHAnsi" w:cstheme="minorHAnsi"/>
          <w:szCs w:val="20"/>
          <w:lang w:val="en-GB"/>
        </w:rPr>
        <w:t xml:space="preserve">up to </w:t>
      </w:r>
      <w:r w:rsidR="001B434B" w:rsidRPr="00BD6DD6">
        <w:rPr>
          <w:rFonts w:asciiTheme="minorHAnsi" w:hAnsiTheme="minorHAnsi" w:cstheme="minorHAnsi"/>
          <w:szCs w:val="20"/>
          <w:lang w:val="en-GB"/>
        </w:rPr>
        <w:t xml:space="preserve">and including </w:t>
      </w:r>
      <w:r w:rsidRPr="00BD6DD6">
        <w:rPr>
          <w:rFonts w:asciiTheme="minorHAnsi" w:hAnsiTheme="minorHAnsi" w:cstheme="minorHAnsi"/>
          <w:szCs w:val="20"/>
          <w:lang w:val="en-GB"/>
        </w:rPr>
        <w:t xml:space="preserve">16 </w:t>
      </w:r>
      <w:proofErr w:type="gramStart"/>
      <w:r w:rsidRPr="00BD6DD6">
        <w:rPr>
          <w:rFonts w:asciiTheme="minorHAnsi" w:hAnsiTheme="minorHAnsi" w:cstheme="minorHAnsi"/>
          <w:szCs w:val="20"/>
          <w:lang w:val="en-GB"/>
        </w:rPr>
        <w:t>bar</w:t>
      </w:r>
      <w:proofErr w:type="gramEnd"/>
      <w:r w:rsidR="001B434B" w:rsidRPr="00BD6DD6">
        <w:rPr>
          <w:rFonts w:asciiTheme="minorHAnsi" w:hAnsiTheme="minorHAnsi" w:cstheme="minorHAnsi"/>
          <w:szCs w:val="20"/>
          <w:lang w:val="en-GB"/>
        </w:rPr>
        <w:t xml:space="preserve"> for distribution pipelines</w:t>
      </w:r>
    </w:p>
    <w:p w14:paraId="06D5DCA2" w14:textId="5F0A1930" w:rsidR="00A90221" w:rsidRPr="00BD6DD6" w:rsidRDefault="001B434B" w:rsidP="00A90221">
      <w:pPr>
        <w:pStyle w:val="ListParagraph"/>
        <w:numPr>
          <w:ilvl w:val="0"/>
          <w:numId w:val="21"/>
        </w:numPr>
        <w:jc w:val="both"/>
        <w:rPr>
          <w:szCs w:val="20"/>
          <w:lang w:val="en-GB"/>
        </w:rPr>
      </w:pPr>
      <w:proofErr w:type="spellStart"/>
      <w:r w:rsidRPr="00BD6DD6">
        <w:rPr>
          <w:rFonts w:asciiTheme="minorHAnsi" w:hAnsiTheme="minorHAnsi" w:cstheme="minorHAnsi"/>
          <w:szCs w:val="20"/>
          <w:lang w:val="en-GB"/>
        </w:rPr>
        <w:t>ti</w:t>
      </w:r>
      <w:r w:rsidR="0049659A" w:rsidRPr="00BD6DD6">
        <w:rPr>
          <w:rFonts w:asciiTheme="minorHAnsi" w:hAnsiTheme="minorHAnsi" w:cstheme="minorHAnsi"/>
          <w:szCs w:val="20"/>
          <w:lang w:val="en-GB"/>
        </w:rPr>
        <w:t>pically</w:t>
      </w:r>
      <w:proofErr w:type="spellEnd"/>
      <w:r w:rsidR="0049659A" w:rsidRPr="00BD6DD6">
        <w:rPr>
          <w:rFonts w:asciiTheme="minorHAnsi" w:hAnsiTheme="minorHAnsi" w:cstheme="minorHAnsi"/>
          <w:szCs w:val="20"/>
          <w:lang w:val="en-GB"/>
        </w:rPr>
        <w:t xml:space="preserve"> between 50 to 80 bar</w:t>
      </w:r>
      <w:r w:rsidRPr="00BD6DD6">
        <w:rPr>
          <w:rFonts w:asciiTheme="minorHAnsi" w:hAnsiTheme="minorHAnsi" w:cstheme="minorHAnsi"/>
          <w:szCs w:val="20"/>
          <w:lang w:val="en-GB"/>
        </w:rPr>
        <w:t xml:space="preserve"> for transmission pipelines</w:t>
      </w:r>
    </w:p>
    <w:p w14:paraId="10A67A96" w14:textId="77777777" w:rsidR="00BD6B9C" w:rsidRDefault="00BD6B9C" w:rsidP="006C19B8">
      <w:pPr>
        <w:jc w:val="both"/>
        <w:rPr>
          <w:szCs w:val="20"/>
        </w:rPr>
      </w:pPr>
    </w:p>
    <w:p w14:paraId="023C074A" w14:textId="77777777" w:rsidR="003D753F" w:rsidRDefault="00A90221" w:rsidP="003D753F">
      <w:pPr>
        <w:jc w:val="both"/>
        <w:rPr>
          <w:szCs w:val="20"/>
        </w:rPr>
      </w:pPr>
      <w:r w:rsidRPr="0042603A">
        <w:rPr>
          <w:szCs w:val="20"/>
        </w:rPr>
        <w:t xml:space="preserve">In </w:t>
      </w:r>
      <w:r w:rsidR="00FD4369">
        <w:rPr>
          <w:szCs w:val="20"/>
        </w:rPr>
        <w:t>term of flow rates</w:t>
      </w:r>
      <w:r w:rsidRPr="0042603A">
        <w:rPr>
          <w:szCs w:val="20"/>
        </w:rPr>
        <w:t xml:space="preserve">, </w:t>
      </w:r>
      <w:r w:rsidR="00FD4369">
        <w:rPr>
          <w:szCs w:val="20"/>
        </w:rPr>
        <w:t xml:space="preserve">there is a considerable </w:t>
      </w:r>
      <w:r w:rsidRPr="0042603A">
        <w:rPr>
          <w:szCs w:val="20"/>
        </w:rPr>
        <w:t>variability of ranges</w:t>
      </w:r>
      <w:r w:rsidR="00FD4369">
        <w:rPr>
          <w:szCs w:val="20"/>
        </w:rPr>
        <w:t xml:space="preserve"> across the gas network</w:t>
      </w:r>
      <w:r w:rsidR="00446914">
        <w:rPr>
          <w:szCs w:val="20"/>
        </w:rPr>
        <w:t>s</w:t>
      </w:r>
      <w:r w:rsidR="00FD4369">
        <w:rPr>
          <w:szCs w:val="20"/>
        </w:rPr>
        <w:t xml:space="preserve">. </w:t>
      </w:r>
      <w:r w:rsidR="00FD4369" w:rsidRPr="00FD4369">
        <w:rPr>
          <w:szCs w:val="20"/>
        </w:rPr>
        <w:t xml:space="preserve">A traditional limit of 20 m/s (72 km/h) for the flow velocity is used in the natural gas grid, although deviations from this are also possible. </w:t>
      </w:r>
      <w:r w:rsidR="00446914">
        <w:rPr>
          <w:szCs w:val="20"/>
        </w:rPr>
        <w:t>For example, i</w:t>
      </w:r>
      <w:r w:rsidR="00FD4369" w:rsidRPr="00FD4369">
        <w:rPr>
          <w:szCs w:val="20"/>
        </w:rPr>
        <w:t>n large transmission pipelines, the flow velocity usually is lower.</w:t>
      </w:r>
      <w:r w:rsidR="009115B5" w:rsidRPr="00F977FD">
        <w:rPr>
          <w:szCs w:val="20"/>
        </w:rPr>
        <w:t xml:space="preserve"> However, the flow velocity for pure hydrogen would need to be considerably higher than 20 m/s </w:t>
      </w:r>
      <w:r w:rsidR="009115B5" w:rsidRPr="009115B5">
        <w:rPr>
          <w:szCs w:val="20"/>
        </w:rPr>
        <w:t>to match the energy transport capacity of natural gas</w:t>
      </w:r>
      <w:r w:rsidR="009115B5">
        <w:rPr>
          <w:szCs w:val="20"/>
        </w:rPr>
        <w:t xml:space="preserve"> for a given pressure and pipe size. </w:t>
      </w:r>
      <w:r w:rsidR="00446914">
        <w:rPr>
          <w:szCs w:val="20"/>
        </w:rPr>
        <w:t>A f</w:t>
      </w:r>
      <w:r w:rsidR="009115B5">
        <w:rPr>
          <w:szCs w:val="20"/>
        </w:rPr>
        <w:t xml:space="preserve">urther assessment </w:t>
      </w:r>
      <w:r w:rsidR="00446914">
        <w:rPr>
          <w:szCs w:val="20"/>
        </w:rPr>
        <w:t>is</w:t>
      </w:r>
      <w:r w:rsidR="009115B5">
        <w:rPr>
          <w:szCs w:val="20"/>
        </w:rPr>
        <w:t xml:space="preserve"> required to establish </w:t>
      </w:r>
      <w:r w:rsidR="00446914">
        <w:rPr>
          <w:szCs w:val="20"/>
        </w:rPr>
        <w:t>the</w:t>
      </w:r>
      <w:r w:rsidR="009115B5">
        <w:rPr>
          <w:szCs w:val="20"/>
        </w:rPr>
        <w:t xml:space="preserve"> hydrogen </w:t>
      </w:r>
      <w:r w:rsidR="00446914">
        <w:rPr>
          <w:szCs w:val="20"/>
        </w:rPr>
        <w:t xml:space="preserve">flow </w:t>
      </w:r>
      <w:r w:rsidR="009115B5">
        <w:rPr>
          <w:szCs w:val="20"/>
        </w:rPr>
        <w:t>velocity limit.</w:t>
      </w:r>
      <w:r w:rsidR="009115B5" w:rsidRPr="009115B5">
        <w:rPr>
          <w:szCs w:val="20"/>
        </w:rPr>
        <w:t xml:space="preserve"> </w:t>
      </w:r>
      <w:r w:rsidR="003D753F" w:rsidRPr="00080945">
        <w:rPr>
          <w:szCs w:val="20"/>
        </w:rPr>
        <w:t>There is a high variability in the European gas pipelines’ size depending on their use</w:t>
      </w:r>
      <w:r w:rsidR="003D753F">
        <w:rPr>
          <w:szCs w:val="20"/>
        </w:rPr>
        <w:t xml:space="preserve">. Pipeline diameters range is generally between 5” and 41”, with pipeline sizes closer to the lower end of this range for </w:t>
      </w:r>
      <w:r w:rsidR="003D753F" w:rsidRPr="00765EAB">
        <w:rPr>
          <w:szCs w:val="20"/>
        </w:rPr>
        <w:t xml:space="preserve">gas distribution </w:t>
      </w:r>
      <w:r w:rsidR="003D753F">
        <w:rPr>
          <w:szCs w:val="20"/>
        </w:rPr>
        <w:t xml:space="preserve">network and closer to the higher end of this range for gas transmission network. Although it would have been relevant to conduct tests over the entire pipeline diameters range, this will not be possible since the upper range is outside the test facilitates operating envelope limit of 17”.  </w:t>
      </w:r>
    </w:p>
    <w:p w14:paraId="53F05DE7" w14:textId="77777777" w:rsidR="003D753F" w:rsidRPr="00BD6B9C" w:rsidRDefault="003D753F" w:rsidP="003D753F">
      <w:pPr>
        <w:jc w:val="both"/>
        <w:rPr>
          <w:b/>
          <w:bCs/>
          <w:szCs w:val="20"/>
        </w:rPr>
      </w:pPr>
      <w:r w:rsidRPr="00BD6B9C">
        <w:rPr>
          <w:b/>
          <w:bCs/>
          <w:szCs w:val="20"/>
        </w:rPr>
        <w:t>It is concluded that tests in Work Package (WP) 1 ‘Flow Metering’ will be conducted with flow meters between 5” and 17”, and with smaller size</w:t>
      </w:r>
      <w:r>
        <w:rPr>
          <w:b/>
          <w:bCs/>
          <w:szCs w:val="20"/>
        </w:rPr>
        <w:t xml:space="preserve"> meters</w:t>
      </w:r>
      <w:r w:rsidRPr="00BD6B9C">
        <w:rPr>
          <w:b/>
          <w:bCs/>
          <w:szCs w:val="20"/>
        </w:rPr>
        <w:t xml:space="preserve"> for domestic meters. Flow rates and pressure will be primarily dictated by the test facilities operating envelope</w:t>
      </w:r>
      <w:r>
        <w:rPr>
          <w:b/>
          <w:bCs/>
          <w:szCs w:val="20"/>
        </w:rPr>
        <w:t xml:space="preserve"> and effort will be put to match the values reported above</w:t>
      </w:r>
      <w:r w:rsidRPr="00BD6B9C">
        <w:rPr>
          <w:b/>
          <w:bCs/>
          <w:szCs w:val="20"/>
        </w:rPr>
        <w:t xml:space="preserve">.   </w:t>
      </w:r>
    </w:p>
    <w:p w14:paraId="719BB91B" w14:textId="474F4459" w:rsidR="006C19B8" w:rsidRPr="006C19B8" w:rsidRDefault="006C19B8" w:rsidP="003D753F">
      <w:pPr>
        <w:jc w:val="both"/>
        <w:rPr>
          <w:szCs w:val="20"/>
        </w:rPr>
      </w:pPr>
      <w:r w:rsidRPr="006C19B8">
        <w:rPr>
          <w:szCs w:val="20"/>
        </w:rPr>
        <w:t>A metering technology literature review was presented in this report. The review conclusions are divided between physical properties models, distribution/transmission flow meters and domestic meters as follow:</w:t>
      </w:r>
    </w:p>
    <w:p w14:paraId="7E193744" w14:textId="3AFEA112" w:rsidR="006C19B8" w:rsidRPr="00DF64FE" w:rsidRDefault="006C19B8" w:rsidP="00F22800">
      <w:pPr>
        <w:pStyle w:val="ListParagraph"/>
        <w:numPr>
          <w:ilvl w:val="0"/>
          <w:numId w:val="24"/>
        </w:numPr>
        <w:jc w:val="both"/>
        <w:rPr>
          <w:rFonts w:asciiTheme="minorHAnsi" w:hAnsiTheme="minorHAnsi" w:cstheme="minorHAnsi"/>
          <w:szCs w:val="20"/>
        </w:rPr>
      </w:pPr>
      <w:proofErr w:type="spellStart"/>
      <w:r w:rsidRPr="00DF64FE">
        <w:rPr>
          <w:rFonts w:asciiTheme="minorHAnsi" w:hAnsiTheme="minorHAnsi" w:cstheme="minorHAnsi"/>
          <w:szCs w:val="20"/>
        </w:rPr>
        <w:lastRenderedPageBreak/>
        <w:t>Physical</w:t>
      </w:r>
      <w:proofErr w:type="spellEnd"/>
      <w:r w:rsidRPr="00DF64FE">
        <w:rPr>
          <w:rFonts w:asciiTheme="minorHAnsi" w:hAnsiTheme="minorHAnsi" w:cstheme="minorHAnsi"/>
          <w:szCs w:val="20"/>
        </w:rPr>
        <w:t xml:space="preserve"> </w:t>
      </w:r>
      <w:proofErr w:type="spellStart"/>
      <w:r w:rsidRPr="00DF64FE">
        <w:rPr>
          <w:rFonts w:asciiTheme="minorHAnsi" w:hAnsiTheme="minorHAnsi" w:cstheme="minorHAnsi"/>
          <w:szCs w:val="20"/>
        </w:rPr>
        <w:t>properties</w:t>
      </w:r>
      <w:proofErr w:type="spellEnd"/>
      <w:r w:rsidRPr="00DF64FE">
        <w:rPr>
          <w:rFonts w:asciiTheme="minorHAnsi" w:hAnsiTheme="minorHAnsi" w:cstheme="minorHAnsi"/>
          <w:szCs w:val="20"/>
        </w:rPr>
        <w:t xml:space="preserve"> </w:t>
      </w:r>
      <w:proofErr w:type="spellStart"/>
      <w:r w:rsidRPr="00DF64FE">
        <w:rPr>
          <w:rFonts w:asciiTheme="minorHAnsi" w:hAnsiTheme="minorHAnsi" w:cstheme="minorHAnsi"/>
          <w:szCs w:val="20"/>
        </w:rPr>
        <w:t>models</w:t>
      </w:r>
      <w:proofErr w:type="spellEnd"/>
      <w:r w:rsidRPr="00DF64FE">
        <w:rPr>
          <w:rFonts w:asciiTheme="minorHAnsi" w:hAnsiTheme="minorHAnsi" w:cstheme="minorHAnsi"/>
          <w:szCs w:val="20"/>
        </w:rPr>
        <w:t xml:space="preserve">: </w:t>
      </w:r>
    </w:p>
    <w:p w14:paraId="39C30BB5" w14:textId="77777777" w:rsidR="00F22800" w:rsidRPr="00F22800" w:rsidRDefault="00F22800" w:rsidP="00F22800">
      <w:pPr>
        <w:jc w:val="both"/>
        <w:rPr>
          <w:szCs w:val="20"/>
        </w:rPr>
      </w:pPr>
    </w:p>
    <w:p w14:paraId="286A32A7" w14:textId="77777777" w:rsidR="006C19B8" w:rsidRPr="006C19B8" w:rsidRDefault="006C19B8" w:rsidP="006C19B8">
      <w:pPr>
        <w:jc w:val="both"/>
        <w:rPr>
          <w:szCs w:val="20"/>
        </w:rPr>
      </w:pPr>
      <w:r w:rsidRPr="006C19B8">
        <w:rPr>
          <w:szCs w:val="20"/>
        </w:rPr>
        <w:t xml:space="preserve">The density difference between GERG-2008 and AGA8-DC92 models is well within ±0.03 % for a typical natural gas blend with up to 50 % hydrogen concentration and pressure between 5 and 50 bara. Studies in the literature show that GERG-2008 is within ±0.05 % of the experimental density results for up to 10 % hydrogen concentration natural gas blends and within ±0.1 % up to 30 % hydrogen concentration. </w:t>
      </w:r>
    </w:p>
    <w:p w14:paraId="0D25E964" w14:textId="77777777" w:rsidR="006C19B8" w:rsidRPr="006C19B8" w:rsidRDefault="006C19B8" w:rsidP="006C19B8">
      <w:pPr>
        <w:jc w:val="both"/>
        <w:rPr>
          <w:szCs w:val="20"/>
        </w:rPr>
      </w:pPr>
      <w:r w:rsidRPr="006C19B8">
        <w:rPr>
          <w:szCs w:val="20"/>
        </w:rPr>
        <w:t xml:space="preserve">The speed of sound difference between GERG-2008 and AGA8-DC92 models is well within ±0.05 % for a typical natural gas blend with up to 20 % hydrogen concentration and pressure between 5 and 50 bara. Further work is required to assess GERG-2008 and AGA8-DC92 performance against experimental data. However, tests at DNV with ultrasonic meters suggest that values are within 0.1 %. </w:t>
      </w:r>
    </w:p>
    <w:p w14:paraId="02776811" w14:textId="7A5EAAF5" w:rsidR="006C19B8" w:rsidRPr="00581642" w:rsidRDefault="006C19B8" w:rsidP="006C19B8">
      <w:pPr>
        <w:jc w:val="both"/>
        <w:rPr>
          <w:b/>
          <w:bCs/>
          <w:szCs w:val="20"/>
        </w:rPr>
      </w:pPr>
      <w:r w:rsidRPr="006C19B8">
        <w:rPr>
          <w:szCs w:val="20"/>
        </w:rPr>
        <w:t xml:space="preserve">Further investigation is required to fully assess and further develop GERG-2008 and AGA8-DC92 models. </w:t>
      </w:r>
      <w:r w:rsidRPr="00581642">
        <w:rPr>
          <w:b/>
          <w:bCs/>
          <w:szCs w:val="20"/>
        </w:rPr>
        <w:t xml:space="preserve">However, it is concluded that GERG-2008 equation of state model can be used with confidence in the flow metering test work planned in Work Package (WP) 1 ‘Flow Metering’ of the EMPIR Metrology for Decarbonising the Gas Grid project (Decarb project). </w:t>
      </w:r>
      <w:r w:rsidR="00F56932">
        <w:rPr>
          <w:b/>
          <w:bCs/>
          <w:szCs w:val="20"/>
        </w:rPr>
        <w:t xml:space="preserve">If improvements to this model or alternative better performing models are made available during this </w:t>
      </w:r>
      <w:proofErr w:type="gramStart"/>
      <w:r w:rsidR="00F56932">
        <w:rPr>
          <w:b/>
          <w:bCs/>
          <w:szCs w:val="20"/>
        </w:rPr>
        <w:t>project</w:t>
      </w:r>
      <w:proofErr w:type="gramEnd"/>
      <w:r w:rsidR="00F56932">
        <w:rPr>
          <w:b/>
          <w:bCs/>
          <w:szCs w:val="20"/>
        </w:rPr>
        <w:t xml:space="preserve"> then effort will be put to employ them. </w:t>
      </w:r>
    </w:p>
    <w:p w14:paraId="7E22C0E1" w14:textId="557612F8" w:rsidR="00F22800" w:rsidRPr="00BD6DD6" w:rsidRDefault="006C19B8" w:rsidP="00F22800">
      <w:pPr>
        <w:pStyle w:val="ListParagraph"/>
        <w:numPr>
          <w:ilvl w:val="0"/>
          <w:numId w:val="24"/>
        </w:numPr>
        <w:jc w:val="both"/>
        <w:rPr>
          <w:rFonts w:asciiTheme="minorHAnsi" w:hAnsiTheme="minorHAnsi" w:cstheme="minorHAnsi"/>
          <w:b/>
          <w:bCs/>
          <w:szCs w:val="20"/>
          <w:lang w:val="en-GB"/>
        </w:rPr>
      </w:pPr>
      <w:r w:rsidRPr="00BD6DD6">
        <w:rPr>
          <w:rFonts w:asciiTheme="minorHAnsi" w:hAnsiTheme="minorHAnsi" w:cstheme="minorHAnsi"/>
          <w:szCs w:val="20"/>
          <w:lang w:val="en-GB"/>
        </w:rPr>
        <w:t>Distribution and transmission flow meters:</w:t>
      </w:r>
      <w:r w:rsidRPr="00BD6DD6">
        <w:rPr>
          <w:rFonts w:asciiTheme="minorHAnsi" w:hAnsiTheme="minorHAnsi" w:cstheme="minorHAnsi"/>
          <w:b/>
          <w:bCs/>
          <w:szCs w:val="20"/>
          <w:lang w:val="en-GB"/>
        </w:rPr>
        <w:t xml:space="preserve"> </w:t>
      </w:r>
    </w:p>
    <w:p w14:paraId="2F8B7E74" w14:textId="0C2AABF5" w:rsidR="00581642" w:rsidRDefault="006C19B8" w:rsidP="006C19B8">
      <w:pPr>
        <w:jc w:val="both"/>
        <w:rPr>
          <w:szCs w:val="20"/>
        </w:rPr>
      </w:pPr>
      <w:r w:rsidRPr="006C19B8">
        <w:rPr>
          <w:szCs w:val="20"/>
        </w:rPr>
        <w:t xml:space="preserve">Test work with several 6” turbine meters show that their response in the Reynolds domain is similar between hydrogen-enriched natural gas (up to 30 % hydrogen concentration and 16 - 32 bara range) and natural gas. Instead, tests with ultrasonic meters generally show poorer results than for turbine meters. However, the ultrasonic meters response varies between tested meters, and it appears to be considerably influenced by the meter settings. The difference observed with rotary meters between natural gas and hydrogen enriched natural gas were typically well within 0.15 %. Coriolis meters are found to perform well within ±0.5 % both with hydrogen-enriched natural gas (up to 30 % hydrogen concentration and 16 - 32 bara range) and natural gas if they are properly compensated for pressure and speed of sound effects. To author`s best knowledge no differential pressure flow meters, such as orifice meters, were tested so far with hydrogen or hydrogen-enriched natural gas test. </w:t>
      </w:r>
      <w:r w:rsidR="00FD3BF7">
        <w:rPr>
          <w:szCs w:val="20"/>
        </w:rPr>
        <w:t>For all the meters technologies there is a general lack of test results with 100 % hydrogen openly available</w:t>
      </w:r>
      <w:r w:rsidR="00CC67FC">
        <w:rPr>
          <w:szCs w:val="20"/>
        </w:rPr>
        <w:t xml:space="preserve"> in the literature</w:t>
      </w:r>
      <w:r w:rsidR="00FD3BF7">
        <w:rPr>
          <w:szCs w:val="20"/>
        </w:rPr>
        <w:t xml:space="preserve">. </w:t>
      </w:r>
    </w:p>
    <w:p w14:paraId="7A296EBC" w14:textId="03F3839C" w:rsidR="006C19B8" w:rsidRPr="00581642" w:rsidRDefault="006C19B8" w:rsidP="006C19B8">
      <w:pPr>
        <w:jc w:val="both"/>
        <w:rPr>
          <w:b/>
          <w:bCs/>
          <w:szCs w:val="20"/>
        </w:rPr>
      </w:pPr>
      <w:r w:rsidRPr="00581642">
        <w:rPr>
          <w:b/>
          <w:bCs/>
          <w:szCs w:val="20"/>
        </w:rPr>
        <w:t xml:space="preserve">It is concluded that </w:t>
      </w:r>
      <w:r w:rsidR="00FD3BF7">
        <w:rPr>
          <w:b/>
          <w:bCs/>
          <w:szCs w:val="20"/>
        </w:rPr>
        <w:t xml:space="preserve">it </w:t>
      </w:r>
      <w:r w:rsidRPr="00581642">
        <w:rPr>
          <w:b/>
          <w:bCs/>
          <w:szCs w:val="20"/>
        </w:rPr>
        <w:t xml:space="preserve">would be </w:t>
      </w:r>
      <w:r w:rsidR="00FD3BF7">
        <w:rPr>
          <w:b/>
          <w:bCs/>
          <w:szCs w:val="20"/>
        </w:rPr>
        <w:t>of interest t</w:t>
      </w:r>
      <w:r w:rsidR="00FD3BF7" w:rsidRPr="00FD3BF7">
        <w:rPr>
          <w:b/>
          <w:bCs/>
          <w:szCs w:val="20"/>
        </w:rPr>
        <w:t>o conduct tests with 100 % hydrogen as part of Work Package (WP) 1 ‘Flow Metering’ of the EMPIR Metrology for Decarbonising the Gas Grid project (Decarb project).</w:t>
      </w:r>
      <w:r w:rsidR="00FD3BF7">
        <w:rPr>
          <w:b/>
          <w:bCs/>
          <w:szCs w:val="20"/>
        </w:rPr>
        <w:t xml:space="preserve"> </w:t>
      </w:r>
      <w:proofErr w:type="gramStart"/>
      <w:r w:rsidR="00FD3BF7">
        <w:rPr>
          <w:b/>
          <w:bCs/>
          <w:szCs w:val="20"/>
        </w:rPr>
        <w:t>In particular it</w:t>
      </w:r>
      <w:proofErr w:type="gramEnd"/>
      <w:r w:rsidR="00FD3BF7">
        <w:rPr>
          <w:b/>
          <w:bCs/>
          <w:szCs w:val="20"/>
        </w:rPr>
        <w:t xml:space="preserve"> would be interesting to </w:t>
      </w:r>
      <w:r w:rsidRPr="00581642">
        <w:rPr>
          <w:b/>
          <w:bCs/>
          <w:szCs w:val="20"/>
        </w:rPr>
        <w:t xml:space="preserve">test differential pressure meters </w:t>
      </w:r>
      <w:r w:rsidR="00E07734">
        <w:rPr>
          <w:b/>
          <w:bCs/>
          <w:szCs w:val="20"/>
        </w:rPr>
        <w:t>both with natural gas/hydrogen b</w:t>
      </w:r>
      <w:r w:rsidR="00FB5878">
        <w:rPr>
          <w:b/>
          <w:bCs/>
          <w:szCs w:val="20"/>
        </w:rPr>
        <w:t>le</w:t>
      </w:r>
      <w:r w:rsidR="00E07734">
        <w:rPr>
          <w:b/>
          <w:bCs/>
          <w:szCs w:val="20"/>
        </w:rPr>
        <w:t xml:space="preserve">nds and with 100 % hydrogen. </w:t>
      </w:r>
    </w:p>
    <w:p w14:paraId="683E0EC8" w14:textId="2DC28F5C" w:rsidR="00F22800" w:rsidRPr="00002A00" w:rsidRDefault="006C19B8" w:rsidP="00DF64FE">
      <w:pPr>
        <w:pStyle w:val="ListParagraph"/>
        <w:numPr>
          <w:ilvl w:val="0"/>
          <w:numId w:val="24"/>
        </w:numPr>
        <w:jc w:val="both"/>
        <w:rPr>
          <w:rFonts w:cstheme="minorHAnsi"/>
          <w:b/>
          <w:bCs/>
          <w:szCs w:val="20"/>
        </w:rPr>
      </w:pPr>
      <w:proofErr w:type="spellStart"/>
      <w:r w:rsidRPr="00DF64FE">
        <w:rPr>
          <w:rFonts w:asciiTheme="minorHAnsi" w:hAnsiTheme="minorHAnsi" w:cstheme="minorHAnsi"/>
          <w:szCs w:val="20"/>
        </w:rPr>
        <w:t>Domestic</w:t>
      </w:r>
      <w:proofErr w:type="spellEnd"/>
      <w:r w:rsidRPr="00DF64FE">
        <w:rPr>
          <w:rFonts w:asciiTheme="minorHAnsi" w:hAnsiTheme="minorHAnsi" w:cstheme="minorHAnsi"/>
          <w:szCs w:val="20"/>
        </w:rPr>
        <w:t xml:space="preserve"> </w:t>
      </w:r>
      <w:proofErr w:type="spellStart"/>
      <w:r w:rsidRPr="00DF64FE">
        <w:rPr>
          <w:rFonts w:asciiTheme="minorHAnsi" w:hAnsiTheme="minorHAnsi" w:cstheme="minorHAnsi"/>
          <w:szCs w:val="20"/>
        </w:rPr>
        <w:t>flow</w:t>
      </w:r>
      <w:proofErr w:type="spellEnd"/>
      <w:r w:rsidRPr="00DF64FE">
        <w:rPr>
          <w:rFonts w:asciiTheme="minorHAnsi" w:hAnsiTheme="minorHAnsi" w:cstheme="minorHAnsi"/>
          <w:szCs w:val="20"/>
        </w:rPr>
        <w:t xml:space="preserve"> </w:t>
      </w:r>
      <w:proofErr w:type="spellStart"/>
      <w:r w:rsidRPr="00DF64FE">
        <w:rPr>
          <w:rFonts w:asciiTheme="minorHAnsi" w:hAnsiTheme="minorHAnsi" w:cstheme="minorHAnsi"/>
          <w:szCs w:val="20"/>
        </w:rPr>
        <w:t>meters</w:t>
      </w:r>
      <w:proofErr w:type="spellEnd"/>
      <w:r w:rsidRPr="00DF64FE">
        <w:rPr>
          <w:rFonts w:asciiTheme="minorHAnsi" w:hAnsiTheme="minorHAnsi" w:cstheme="minorHAnsi"/>
          <w:szCs w:val="20"/>
        </w:rPr>
        <w:t>:</w:t>
      </w:r>
      <w:r w:rsidRPr="00DF64FE">
        <w:rPr>
          <w:rFonts w:asciiTheme="minorHAnsi" w:hAnsiTheme="minorHAnsi" w:cstheme="minorHAnsi"/>
          <w:b/>
          <w:bCs/>
          <w:szCs w:val="20"/>
        </w:rPr>
        <w:t xml:space="preserve"> </w:t>
      </w:r>
    </w:p>
    <w:p w14:paraId="41AD2C30" w14:textId="0928A055" w:rsidR="00581642" w:rsidRDefault="006C19B8" w:rsidP="006C19B8">
      <w:pPr>
        <w:jc w:val="both"/>
        <w:rPr>
          <w:szCs w:val="20"/>
        </w:rPr>
      </w:pPr>
      <w:r w:rsidRPr="006C19B8">
        <w:rPr>
          <w:szCs w:val="20"/>
        </w:rPr>
        <w:t xml:space="preserve">The studies available in the literature show that diaphragm meters generally perform within the Maximum Permissible Error limits with hydrogen-enriched natural gas blends (up to 20 % hydrogen). Methane and blends result generally agree within 0.3 %, and the differences are primarily observed at low flow rates less than 10 % of </w:t>
      </w:r>
      <w:proofErr w:type="spellStart"/>
      <w:r w:rsidRPr="006C19B8">
        <w:rPr>
          <w:szCs w:val="20"/>
        </w:rPr>
        <w:t>Qmax</w:t>
      </w:r>
      <w:proofErr w:type="spellEnd"/>
      <w:r w:rsidRPr="006C19B8">
        <w:rPr>
          <w:szCs w:val="20"/>
        </w:rPr>
        <w:t>. Instead, for ultrasonic meters the response depends on the meter type/vendor. Errors outside MPE limits are possible for ultrasonic meters and discrepancies between methane and blends result are generally greater than for diaphragm meters. There are indications that the discrepancy between methane and blends results decreases by decreasing the hydrogen concentration, with performance considerably increasing below a certain hydrogen concentration threshold. However, further investigation is required on this point. Thermal mass flow meter response is generally found within the MPE limits.</w:t>
      </w:r>
      <w:r w:rsidR="00CB2C18">
        <w:rPr>
          <w:szCs w:val="20"/>
        </w:rPr>
        <w:t xml:space="preserve"> For all the meters technologies there is a lack of test results </w:t>
      </w:r>
      <w:r w:rsidR="001B3301">
        <w:rPr>
          <w:szCs w:val="20"/>
        </w:rPr>
        <w:t xml:space="preserve">above 20 % hydrogen and </w:t>
      </w:r>
      <w:r w:rsidR="00CB2C18">
        <w:rPr>
          <w:szCs w:val="20"/>
        </w:rPr>
        <w:t xml:space="preserve">with 100 % </w:t>
      </w:r>
      <w:r w:rsidR="001B3301">
        <w:rPr>
          <w:szCs w:val="20"/>
        </w:rPr>
        <w:t>h</w:t>
      </w:r>
      <w:r w:rsidR="00CB2C18">
        <w:rPr>
          <w:szCs w:val="20"/>
        </w:rPr>
        <w:t xml:space="preserve">ydrogen.  </w:t>
      </w:r>
    </w:p>
    <w:p w14:paraId="6DD6445E" w14:textId="74944950" w:rsidR="00ED5319" w:rsidRPr="00581642" w:rsidRDefault="006C19B8" w:rsidP="006C19B8">
      <w:pPr>
        <w:jc w:val="both"/>
        <w:rPr>
          <w:b/>
          <w:bCs/>
          <w:szCs w:val="20"/>
        </w:rPr>
      </w:pPr>
      <w:r w:rsidRPr="00581642">
        <w:rPr>
          <w:b/>
          <w:bCs/>
          <w:szCs w:val="20"/>
        </w:rPr>
        <w:t xml:space="preserve">It is concluded that </w:t>
      </w:r>
      <w:r w:rsidR="00EC172A">
        <w:rPr>
          <w:b/>
          <w:bCs/>
          <w:szCs w:val="20"/>
        </w:rPr>
        <w:t xml:space="preserve">it </w:t>
      </w:r>
      <w:r w:rsidRPr="00581642">
        <w:rPr>
          <w:b/>
          <w:bCs/>
          <w:szCs w:val="20"/>
        </w:rPr>
        <w:t xml:space="preserve">would be </w:t>
      </w:r>
      <w:r w:rsidR="00EC172A">
        <w:rPr>
          <w:b/>
          <w:bCs/>
          <w:szCs w:val="20"/>
        </w:rPr>
        <w:t xml:space="preserve">of interest to conduct tests of domestic gas meters with 100 % hydrogen </w:t>
      </w:r>
      <w:r w:rsidR="00EC172A" w:rsidRPr="00581642">
        <w:rPr>
          <w:b/>
          <w:bCs/>
          <w:szCs w:val="20"/>
        </w:rPr>
        <w:t>as part of Work Package (WP) 1 ‘Flow Metering’ of the EMPIR Metrology for Decarbonising the Gas Grid project (Decarb project)</w:t>
      </w:r>
      <w:r w:rsidR="00EC172A">
        <w:rPr>
          <w:b/>
          <w:bCs/>
          <w:szCs w:val="20"/>
        </w:rPr>
        <w:t xml:space="preserve">. It is also </w:t>
      </w:r>
      <w:r w:rsidRPr="00581642">
        <w:rPr>
          <w:b/>
          <w:bCs/>
          <w:szCs w:val="20"/>
        </w:rPr>
        <w:t>interesting to further test ultrasonic meters and the influence of varying the hydrogen concentration on their performance</w:t>
      </w:r>
      <w:r w:rsidR="00EC172A">
        <w:rPr>
          <w:b/>
          <w:bCs/>
          <w:szCs w:val="20"/>
        </w:rPr>
        <w:t>.</w:t>
      </w:r>
    </w:p>
    <w:p w14:paraId="1269CA85" w14:textId="77777777" w:rsidR="009A2737" w:rsidRDefault="009A2737" w:rsidP="00F668C6">
      <w:pPr>
        <w:jc w:val="both"/>
      </w:pPr>
    </w:p>
    <w:p w14:paraId="7C702C78" w14:textId="77777777" w:rsidR="00F22800" w:rsidRDefault="00F22800">
      <w:pPr>
        <w:rPr>
          <w:rFonts w:asciiTheme="majorHAnsi" w:eastAsiaTheme="majorEastAsia" w:hAnsiTheme="majorHAnsi" w:cstheme="majorBidi"/>
          <w:color w:val="2F5496" w:themeColor="accent1" w:themeShade="BF"/>
          <w:sz w:val="32"/>
          <w:szCs w:val="32"/>
        </w:rPr>
      </w:pPr>
      <w:r>
        <w:br w:type="page"/>
      </w:r>
    </w:p>
    <w:p w14:paraId="2ED58F3E" w14:textId="7DD556CF" w:rsidR="00ED5319" w:rsidRDefault="00ED5319" w:rsidP="00ED5319">
      <w:pPr>
        <w:pStyle w:val="Heading1"/>
        <w:jc w:val="both"/>
      </w:pPr>
      <w:bookmarkStart w:id="70" w:name="_Toc121830953"/>
      <w:r>
        <w:lastRenderedPageBreak/>
        <w:t>REFERENCES</w:t>
      </w:r>
      <w:bookmarkEnd w:id="70"/>
      <w:r>
        <w:t xml:space="preserve"> </w:t>
      </w:r>
    </w:p>
    <w:p w14:paraId="705A73E9" w14:textId="591D9B84" w:rsidR="00ED5319" w:rsidRDefault="00ED5319" w:rsidP="00ED5319"/>
    <w:p w14:paraId="158FFD23" w14:textId="77777777" w:rsidR="00F25DE1" w:rsidRDefault="00F25DE1" w:rsidP="00F25DE1">
      <w:pPr>
        <w:numPr>
          <w:ilvl w:val="0"/>
          <w:numId w:val="16"/>
        </w:numPr>
        <w:spacing w:before="120" w:after="0" w:line="276" w:lineRule="auto"/>
        <w:ind w:left="1134" w:hanging="680"/>
        <w:jc w:val="both"/>
      </w:pPr>
      <w:bookmarkStart w:id="71" w:name="_Ref96683042"/>
      <w:bookmarkStart w:id="72" w:name="_Ref96613396"/>
      <w:bookmarkStart w:id="73" w:name="_Ref90194547"/>
      <w:bookmarkStart w:id="74" w:name="_Ref90249979"/>
      <w:r>
        <w:t xml:space="preserve">Ten-Year Network Development Plan 2020, Infrastructure Report. </w:t>
      </w:r>
      <w:r w:rsidRPr="005247B4">
        <w:t>European Network of Transmission System Operators for Gas (ENTSOG)</w:t>
      </w:r>
      <w:r>
        <w:t>. 2020.</w:t>
      </w:r>
      <w:bookmarkEnd w:id="71"/>
    </w:p>
    <w:p w14:paraId="4FEEEE5F" w14:textId="77777777" w:rsidR="00F25DE1" w:rsidRDefault="00F25DE1" w:rsidP="00F25DE1">
      <w:pPr>
        <w:numPr>
          <w:ilvl w:val="0"/>
          <w:numId w:val="16"/>
        </w:numPr>
        <w:spacing w:before="120" w:after="0" w:line="276" w:lineRule="auto"/>
        <w:ind w:left="1134" w:hanging="680"/>
        <w:jc w:val="both"/>
      </w:pPr>
      <w:bookmarkStart w:id="75" w:name="_Ref96685958"/>
      <w:r>
        <w:t xml:space="preserve">Communication from the Commission to the European Parliament, the Council, The European Economic and Social Committee and the Committee of the Regions. A hydrogen strategy for a climate-neutral Europe. </w:t>
      </w:r>
      <w:proofErr w:type="gramStart"/>
      <w:r w:rsidRPr="00EA569A">
        <w:t>COM(</w:t>
      </w:r>
      <w:proofErr w:type="gramEnd"/>
      <w:r w:rsidRPr="00EA569A">
        <w:t>2020) 301 final</w:t>
      </w:r>
      <w:r>
        <w:t>. July 2020.</w:t>
      </w:r>
      <w:bookmarkEnd w:id="72"/>
      <w:bookmarkEnd w:id="75"/>
    </w:p>
    <w:p w14:paraId="1C3B975E" w14:textId="77777777" w:rsidR="00F25DE1" w:rsidRDefault="00F25DE1" w:rsidP="00F25DE1">
      <w:pPr>
        <w:numPr>
          <w:ilvl w:val="0"/>
          <w:numId w:val="16"/>
        </w:numPr>
        <w:spacing w:before="120" w:after="0" w:line="276" w:lineRule="auto"/>
        <w:ind w:left="1134" w:hanging="680"/>
        <w:jc w:val="both"/>
      </w:pPr>
      <w:bookmarkStart w:id="76" w:name="_Ref96360921"/>
      <w:bookmarkStart w:id="77" w:name="_Ref96613447"/>
      <w:r w:rsidRPr="006F284E">
        <w:t>Europe’s Local Hydrogen Networks. Part 2: The value of local hydrogen distribution networks in a</w:t>
      </w:r>
      <w:r>
        <w:t xml:space="preserve"> </w:t>
      </w:r>
      <w:r w:rsidRPr="006F284E">
        <w:t xml:space="preserve">decarbonised Europe. Ready4H2 Project. </w:t>
      </w:r>
      <w:r>
        <w:t>February 2022.</w:t>
      </w:r>
      <w:bookmarkEnd w:id="76"/>
    </w:p>
    <w:p w14:paraId="352AB75B" w14:textId="77777777" w:rsidR="00F25DE1" w:rsidRDefault="00F25DE1" w:rsidP="00F25DE1">
      <w:pPr>
        <w:numPr>
          <w:ilvl w:val="0"/>
          <w:numId w:val="16"/>
        </w:numPr>
        <w:spacing w:before="120" w:after="0" w:line="276" w:lineRule="auto"/>
        <w:ind w:left="1134" w:hanging="680"/>
        <w:jc w:val="both"/>
      </w:pPr>
      <w:bookmarkStart w:id="78" w:name="_Ref96686030"/>
      <w:r>
        <w:t>Blending hydrogen from electrolysis into the European gas grid</w:t>
      </w:r>
      <w:r w:rsidRPr="00506FE4">
        <w:t>.</w:t>
      </w:r>
      <w:bookmarkEnd w:id="73"/>
      <w:bookmarkEnd w:id="74"/>
      <w:r>
        <w:t xml:space="preserve"> Joint Research Centre (JRC). 2022.</w:t>
      </w:r>
      <w:bookmarkEnd w:id="77"/>
      <w:bookmarkEnd w:id="78"/>
    </w:p>
    <w:p w14:paraId="42C8FF77" w14:textId="77777777" w:rsidR="00F25DE1" w:rsidRDefault="00F25DE1" w:rsidP="00F25DE1">
      <w:pPr>
        <w:numPr>
          <w:ilvl w:val="0"/>
          <w:numId w:val="16"/>
        </w:numPr>
        <w:spacing w:before="120" w:after="0" w:line="276" w:lineRule="auto"/>
        <w:ind w:left="1134" w:hanging="680"/>
        <w:jc w:val="both"/>
      </w:pPr>
      <w:bookmarkStart w:id="79" w:name="_Ref96613545"/>
      <w:r>
        <w:t>Clean Hydrogen Monitor 2020. Hydrogen Europe. October 2020.</w:t>
      </w:r>
      <w:bookmarkEnd w:id="79"/>
    </w:p>
    <w:p w14:paraId="33FD572A" w14:textId="77777777" w:rsidR="00F25DE1" w:rsidRPr="00F25DE1" w:rsidRDefault="00F25DE1" w:rsidP="00F25DE1">
      <w:pPr>
        <w:numPr>
          <w:ilvl w:val="0"/>
          <w:numId w:val="16"/>
        </w:numPr>
        <w:spacing w:before="120" w:after="0" w:line="276" w:lineRule="auto"/>
        <w:ind w:left="1134" w:hanging="680"/>
        <w:jc w:val="both"/>
        <w:rPr>
          <w:rFonts w:cstheme="minorHAnsi"/>
        </w:rPr>
      </w:pPr>
      <w:bookmarkStart w:id="80" w:name="_Ref96686171"/>
      <w:bookmarkStart w:id="81" w:name="_Ref96613633"/>
      <w:r w:rsidRPr="00F25DE1">
        <w:rPr>
          <w:rFonts w:cstheme="minorHAnsi"/>
        </w:rPr>
        <w:t>EN 16726:2015. Gas infrastructure - Quality of gas - Group H. European Committee for Standardization. July 2018.</w:t>
      </w:r>
      <w:bookmarkEnd w:id="80"/>
    </w:p>
    <w:p w14:paraId="1905C56B" w14:textId="77777777" w:rsidR="00F25DE1" w:rsidRPr="00F25DE1" w:rsidRDefault="00F25DE1" w:rsidP="00F25DE1">
      <w:pPr>
        <w:pStyle w:val="ListParagraph"/>
        <w:numPr>
          <w:ilvl w:val="0"/>
          <w:numId w:val="16"/>
        </w:numPr>
        <w:spacing w:before="120" w:line="276" w:lineRule="auto"/>
        <w:ind w:left="1134" w:hanging="680"/>
        <w:jc w:val="both"/>
        <w:rPr>
          <w:rFonts w:asciiTheme="minorHAnsi" w:hAnsiTheme="minorHAnsi" w:cstheme="minorHAnsi"/>
          <w:lang w:val="en-GB"/>
        </w:rPr>
      </w:pPr>
      <w:bookmarkStart w:id="82" w:name="_Ref96686189"/>
      <w:r w:rsidRPr="00F25DE1">
        <w:rPr>
          <w:rFonts w:asciiTheme="minorHAnsi" w:hAnsiTheme="minorHAnsi" w:cstheme="minorHAnsi"/>
          <w:lang w:val="en-GB"/>
        </w:rPr>
        <w:t>Common Business Practice, Harmonisation of Natural Gas Quality (CBP 2005-001/02). European Association for the Streamlining of Energy Exchange – gas (EASEE-gas). February 2005.</w:t>
      </w:r>
      <w:bookmarkEnd w:id="82"/>
    </w:p>
    <w:p w14:paraId="0D736793" w14:textId="77777777" w:rsidR="00F25DE1" w:rsidRDefault="00F25DE1" w:rsidP="00F25DE1">
      <w:pPr>
        <w:numPr>
          <w:ilvl w:val="0"/>
          <w:numId w:val="16"/>
        </w:numPr>
        <w:spacing w:before="120" w:after="0" w:line="276" w:lineRule="auto"/>
        <w:ind w:left="1134" w:hanging="680"/>
        <w:jc w:val="both"/>
      </w:pPr>
      <w:bookmarkStart w:id="83" w:name="_Ref96686249"/>
      <w:r w:rsidRPr="00F25DE1">
        <w:rPr>
          <w:rFonts w:cstheme="minorHAnsi"/>
        </w:rPr>
        <w:t>Decarbonising the Gas Value Chain: Challenges, Solutions and Recommendations. European Network of Transmission System Operators for Gas (ENTSOG), Prime Movers’ Group on Gas</w:t>
      </w:r>
      <w:r w:rsidRPr="00F314EF">
        <w:t xml:space="preserve"> Q</w:t>
      </w:r>
      <w:r>
        <w:t>uality</w:t>
      </w:r>
      <w:r w:rsidRPr="00F314EF">
        <w:t xml:space="preserve"> </w:t>
      </w:r>
      <w:r>
        <w:t>and</w:t>
      </w:r>
      <w:r w:rsidRPr="00F314EF">
        <w:t xml:space="preserve"> H</w:t>
      </w:r>
      <w:r w:rsidRPr="00F314EF">
        <w:rPr>
          <w:vertAlign w:val="subscript"/>
        </w:rPr>
        <w:t>2</w:t>
      </w:r>
      <w:r w:rsidRPr="00F314EF">
        <w:t xml:space="preserve"> H</w:t>
      </w:r>
      <w:r>
        <w:t>andling. 2021.</w:t>
      </w:r>
      <w:bookmarkEnd w:id="81"/>
      <w:bookmarkEnd w:id="83"/>
    </w:p>
    <w:p w14:paraId="1F5933BE" w14:textId="77777777" w:rsidR="00F25DE1" w:rsidRDefault="00F25DE1" w:rsidP="00F25DE1">
      <w:pPr>
        <w:numPr>
          <w:ilvl w:val="0"/>
          <w:numId w:val="16"/>
        </w:numPr>
        <w:spacing w:before="120" w:after="0" w:line="276" w:lineRule="auto"/>
        <w:ind w:left="1134" w:hanging="680"/>
        <w:jc w:val="both"/>
      </w:pPr>
      <w:bookmarkStart w:id="84" w:name="_Ref96686386"/>
      <w:r>
        <w:t>Overview of available test results and regulatory limits for hydrogen admission into existing natural gas infrastructure and end use. Technical Association of the European Natural Gas Industry (</w:t>
      </w:r>
      <w:proofErr w:type="spellStart"/>
      <w:r>
        <w:t>Marcogaz</w:t>
      </w:r>
      <w:proofErr w:type="spellEnd"/>
      <w:r>
        <w:t>). October 2019.</w:t>
      </w:r>
      <w:bookmarkEnd w:id="84"/>
    </w:p>
    <w:p w14:paraId="3C22C27C" w14:textId="77777777" w:rsidR="00F25DE1" w:rsidRDefault="00F25DE1" w:rsidP="00F25DE1">
      <w:pPr>
        <w:numPr>
          <w:ilvl w:val="0"/>
          <w:numId w:val="16"/>
        </w:numPr>
        <w:spacing w:before="120" w:after="0" w:line="276" w:lineRule="auto"/>
        <w:ind w:left="1134" w:hanging="680"/>
        <w:jc w:val="both"/>
      </w:pPr>
      <w:bookmarkStart w:id="85" w:name="_Ref96613768"/>
      <w:bookmarkStart w:id="86" w:name="_Ref96612862"/>
      <w:r w:rsidRPr="00B02DAA">
        <w:t xml:space="preserve">Proposal for a Regulation of the European Parliament and of the Council on the internal markets for renewable and natural gases and for hydrogen (recast). European Commission </w:t>
      </w:r>
      <w:proofErr w:type="gramStart"/>
      <w:r w:rsidRPr="00B02DAA">
        <w:t>COM(</w:t>
      </w:r>
      <w:proofErr w:type="gramEnd"/>
      <w:r w:rsidRPr="00B02DAA">
        <w:t>2021) 804 final</w:t>
      </w:r>
      <w:r>
        <w:t xml:space="preserve"> </w:t>
      </w:r>
      <w:r w:rsidRPr="00B02DAA">
        <w:t>2021/0424 (COD). December 2021.</w:t>
      </w:r>
      <w:bookmarkEnd w:id="85"/>
    </w:p>
    <w:p w14:paraId="1C8BED4F" w14:textId="77777777" w:rsidR="00F25DE1" w:rsidRDefault="00F25DE1" w:rsidP="00F25DE1">
      <w:pPr>
        <w:numPr>
          <w:ilvl w:val="0"/>
          <w:numId w:val="16"/>
        </w:numPr>
        <w:spacing w:before="120" w:after="0" w:line="276" w:lineRule="auto"/>
        <w:ind w:left="1134" w:hanging="680"/>
        <w:jc w:val="both"/>
      </w:pPr>
      <w:bookmarkStart w:id="87" w:name="_Ref96687030"/>
      <w:r w:rsidRPr="00B35E14">
        <w:t>Extending the European Hydrogen Backbone</w:t>
      </w:r>
      <w:r>
        <w:t>. A European Hydrogen infrastructure vision covering 21 countries. April 2021.</w:t>
      </w:r>
      <w:bookmarkEnd w:id="87"/>
    </w:p>
    <w:p w14:paraId="3F1BB682" w14:textId="77777777" w:rsidR="00F25DE1" w:rsidRDefault="00F25DE1" w:rsidP="00F25DE1">
      <w:pPr>
        <w:numPr>
          <w:ilvl w:val="0"/>
          <w:numId w:val="16"/>
        </w:numPr>
        <w:spacing w:before="120" w:after="0" w:line="276" w:lineRule="auto"/>
        <w:ind w:left="1134" w:hanging="680"/>
        <w:jc w:val="both"/>
      </w:pPr>
      <w:bookmarkStart w:id="88" w:name="_Ref96687032"/>
      <w:r>
        <w:t>European Hydrogen Backbone. Analysing future demand, supply, and transport of hydrogen. June 2021.</w:t>
      </w:r>
      <w:bookmarkEnd w:id="88"/>
    </w:p>
    <w:p w14:paraId="253565A8" w14:textId="77777777" w:rsidR="00F25DE1" w:rsidRDefault="00F25DE1" w:rsidP="00F25DE1">
      <w:pPr>
        <w:numPr>
          <w:ilvl w:val="0"/>
          <w:numId w:val="16"/>
        </w:numPr>
        <w:spacing w:before="120" w:after="0" w:line="276" w:lineRule="auto"/>
        <w:ind w:left="1134" w:hanging="680"/>
        <w:jc w:val="both"/>
      </w:pPr>
      <w:bookmarkStart w:id="89" w:name="_Ref96349686"/>
      <w:r w:rsidRPr="00C04F1C">
        <w:t>Co</w:t>
      </w:r>
      <w:bookmarkStart w:id="90" w:name="_Hlk96676568"/>
      <w:r w:rsidRPr="00C04F1C">
        <w:t>mmon Business Practice, Hydrogen Quality Specification</w:t>
      </w:r>
      <w:r>
        <w:t xml:space="preserve"> (CBP 2022-001/01)</w:t>
      </w:r>
      <w:r w:rsidRPr="00C04F1C">
        <w:t xml:space="preserve">. European Association for the Streamlining of Energy Exchange </w:t>
      </w:r>
      <w:r>
        <w:t>–</w:t>
      </w:r>
      <w:r w:rsidRPr="00C04F1C">
        <w:t xml:space="preserve"> gas</w:t>
      </w:r>
      <w:r>
        <w:t xml:space="preserve"> </w:t>
      </w:r>
      <w:r w:rsidRPr="00C04F1C">
        <w:t>(EASEE-gas)</w:t>
      </w:r>
      <w:r>
        <w:t>. September 2021.</w:t>
      </w:r>
      <w:bookmarkEnd w:id="89"/>
    </w:p>
    <w:p w14:paraId="0C899C00" w14:textId="77777777" w:rsidR="00F25DE1" w:rsidRDefault="00F25DE1" w:rsidP="00F25DE1">
      <w:pPr>
        <w:numPr>
          <w:ilvl w:val="0"/>
          <w:numId w:val="16"/>
        </w:numPr>
        <w:spacing w:before="120" w:after="0" w:line="276" w:lineRule="auto"/>
        <w:ind w:left="1134" w:hanging="680"/>
        <w:jc w:val="both"/>
      </w:pPr>
      <w:bookmarkStart w:id="91" w:name="_Ref96602767"/>
      <w:bookmarkEnd w:id="90"/>
      <w:r>
        <w:t xml:space="preserve">EN 1594:2013. </w:t>
      </w:r>
      <w:r w:rsidRPr="002F7621">
        <w:t>Gas infrastructure - Pipelines for maximum operating pressure</w:t>
      </w:r>
      <w:r>
        <w:t xml:space="preserve"> </w:t>
      </w:r>
      <w:r w:rsidRPr="002F7621">
        <w:t>over 16 bar - Functional requirements</w:t>
      </w:r>
      <w:r>
        <w:t>. European Committee for Standardization. September 2013.</w:t>
      </w:r>
      <w:bookmarkEnd w:id="91"/>
    </w:p>
    <w:p w14:paraId="163267CC" w14:textId="77777777" w:rsidR="00F25DE1" w:rsidRDefault="00F25DE1" w:rsidP="00F25DE1">
      <w:pPr>
        <w:numPr>
          <w:ilvl w:val="0"/>
          <w:numId w:val="16"/>
        </w:numPr>
        <w:spacing w:before="120" w:after="0" w:line="276" w:lineRule="auto"/>
        <w:ind w:left="1134" w:hanging="680"/>
        <w:jc w:val="both"/>
      </w:pPr>
      <w:bookmarkStart w:id="92" w:name="_Ref96608610"/>
      <w:bookmarkStart w:id="93" w:name="_Ref96603634"/>
      <w:r>
        <w:t>Gas Pipeline Incidents. 11</w:t>
      </w:r>
      <w:r w:rsidRPr="00401D1B">
        <w:rPr>
          <w:vertAlign w:val="superscript"/>
        </w:rPr>
        <w:t>th</w:t>
      </w:r>
      <w:r>
        <w:t xml:space="preserve"> Report of the European Gas Pipeline Incident Data Group (period 1970-2019). </w:t>
      </w:r>
      <w:r w:rsidRPr="00401D1B">
        <w:t>European Gas pipeline Incident data Group</w:t>
      </w:r>
      <w:r>
        <w:t xml:space="preserve"> (</w:t>
      </w:r>
      <w:r w:rsidRPr="00401D1B">
        <w:t>EGIG)</w:t>
      </w:r>
      <w:r>
        <w:t>. December 2020.</w:t>
      </w:r>
      <w:bookmarkEnd w:id="92"/>
    </w:p>
    <w:p w14:paraId="26C4AEA4" w14:textId="77777777" w:rsidR="00F25DE1" w:rsidRDefault="00F25DE1" w:rsidP="00F25DE1">
      <w:pPr>
        <w:numPr>
          <w:ilvl w:val="0"/>
          <w:numId w:val="16"/>
        </w:numPr>
        <w:spacing w:before="120" w:after="0" w:line="276" w:lineRule="auto"/>
        <w:ind w:left="1134" w:hanging="680"/>
        <w:jc w:val="both"/>
      </w:pPr>
      <w:bookmarkStart w:id="94" w:name="_Ref97030695"/>
      <w:r w:rsidRPr="00220801">
        <w:t xml:space="preserve">EN 12007-1:2012. Gas infrastructure - Pipelines for maximum operating pressure up to and including 16 bar - Part 1: General functional requirements. </w:t>
      </w:r>
      <w:bookmarkStart w:id="95" w:name="_Hlk96602725"/>
      <w:r w:rsidRPr="00220801">
        <w:t xml:space="preserve">European Committee for Standardization. </w:t>
      </w:r>
      <w:r>
        <w:t>August</w:t>
      </w:r>
      <w:r w:rsidRPr="00220801">
        <w:t xml:space="preserve"> 201</w:t>
      </w:r>
      <w:r>
        <w:t>2</w:t>
      </w:r>
      <w:r w:rsidRPr="00220801">
        <w:t>.</w:t>
      </w:r>
      <w:bookmarkEnd w:id="93"/>
      <w:bookmarkEnd w:id="94"/>
    </w:p>
    <w:p w14:paraId="626C7F86" w14:textId="77777777" w:rsidR="00F25DE1" w:rsidRDefault="00F25DE1" w:rsidP="00F25DE1">
      <w:pPr>
        <w:numPr>
          <w:ilvl w:val="0"/>
          <w:numId w:val="16"/>
        </w:numPr>
        <w:spacing w:before="120" w:after="0" w:line="276" w:lineRule="auto"/>
        <w:ind w:left="1134" w:hanging="680"/>
        <w:jc w:val="both"/>
      </w:pPr>
      <w:bookmarkStart w:id="96" w:name="_Ref96604008"/>
      <w:bookmarkStart w:id="97" w:name="_Ref96938177"/>
      <w:bookmarkEnd w:id="95"/>
      <w:r w:rsidRPr="00220801">
        <w:t xml:space="preserve">EN 437:2018. Test gases - Test pressures - Appliance categories. European Committee for Standardization. </w:t>
      </w:r>
      <w:r>
        <w:t>November</w:t>
      </w:r>
      <w:r w:rsidRPr="00220801">
        <w:t xml:space="preserve"> 201</w:t>
      </w:r>
      <w:r>
        <w:t>8</w:t>
      </w:r>
      <w:r w:rsidRPr="00220801">
        <w:t>.</w:t>
      </w:r>
      <w:bookmarkEnd w:id="96"/>
      <w:bookmarkEnd w:id="97"/>
    </w:p>
    <w:p w14:paraId="77652F7D" w14:textId="77777777" w:rsidR="00F25DE1" w:rsidRDefault="00F25DE1" w:rsidP="00F25DE1">
      <w:pPr>
        <w:numPr>
          <w:ilvl w:val="0"/>
          <w:numId w:val="16"/>
        </w:numPr>
        <w:spacing w:before="120" w:after="0" w:line="276" w:lineRule="auto"/>
        <w:ind w:left="1134" w:hanging="680"/>
        <w:jc w:val="both"/>
      </w:pPr>
      <w:bookmarkStart w:id="98" w:name="_Ref96687340"/>
      <w:r>
        <w:t xml:space="preserve">Impact of </w:t>
      </w:r>
      <w:proofErr w:type="gramStart"/>
      <w:r>
        <w:t>high speed</w:t>
      </w:r>
      <w:proofErr w:type="gramEnd"/>
      <w:r>
        <w:t xml:space="preserve"> hydrogen flow on system integrity and noise (D1E.1 - WP1E Report). </w:t>
      </w:r>
      <w:proofErr w:type="spellStart"/>
      <w:r w:rsidRPr="00903A19">
        <w:t>HyDelta</w:t>
      </w:r>
      <w:proofErr w:type="spellEnd"/>
      <w:r w:rsidRPr="00903A19">
        <w:t xml:space="preserve"> research programme</w:t>
      </w:r>
      <w:r>
        <w:t>. November 2021.</w:t>
      </w:r>
      <w:bookmarkEnd w:id="98"/>
    </w:p>
    <w:p w14:paraId="7FDBB941" w14:textId="77777777" w:rsidR="00F25DE1" w:rsidRDefault="00F25DE1" w:rsidP="00F25DE1">
      <w:pPr>
        <w:numPr>
          <w:ilvl w:val="0"/>
          <w:numId w:val="16"/>
        </w:numPr>
        <w:spacing w:before="120" w:after="0" w:line="276" w:lineRule="auto"/>
        <w:ind w:left="1134" w:hanging="680"/>
        <w:jc w:val="both"/>
        <w:rPr>
          <w:lang w:val="es-ES_tradnl"/>
        </w:rPr>
      </w:pPr>
      <w:bookmarkStart w:id="99" w:name="_Ref96687381"/>
      <w:proofErr w:type="spellStart"/>
      <w:r w:rsidRPr="00593EC7">
        <w:rPr>
          <w:lang w:val="es-ES_tradnl"/>
        </w:rPr>
        <w:lastRenderedPageBreak/>
        <w:t>Think</w:t>
      </w:r>
      <w:proofErr w:type="spellEnd"/>
      <w:r w:rsidRPr="00593EC7">
        <w:rPr>
          <w:lang w:val="es-ES_tradnl"/>
        </w:rPr>
        <w:t xml:space="preserve"> </w:t>
      </w:r>
      <w:proofErr w:type="spellStart"/>
      <w:r w:rsidRPr="00593EC7">
        <w:rPr>
          <w:lang w:val="es-ES_tradnl"/>
        </w:rPr>
        <w:t>Tank</w:t>
      </w:r>
      <w:proofErr w:type="spellEnd"/>
      <w:r w:rsidRPr="00593EC7">
        <w:rPr>
          <w:lang w:val="es-ES_tradnl"/>
        </w:rPr>
        <w:t xml:space="preserve"> para la inyección y almacenamiento de H</w:t>
      </w:r>
      <w:r w:rsidRPr="00593EC7">
        <w:rPr>
          <w:vertAlign w:val="subscript"/>
          <w:lang w:val="es-ES_tradnl"/>
        </w:rPr>
        <w:t>2</w:t>
      </w:r>
      <w:r w:rsidRPr="00593EC7">
        <w:rPr>
          <w:lang w:val="es-ES_tradnl"/>
        </w:rPr>
        <w:t xml:space="preserve"> en las infraestructuras de gas natural</w:t>
      </w:r>
      <w:r>
        <w:rPr>
          <w:lang w:val="es-ES_tradnl"/>
        </w:rPr>
        <w:t xml:space="preserve">. </w:t>
      </w:r>
      <w:r w:rsidRPr="00B35E14">
        <w:rPr>
          <w:lang w:val="es-ES_tradnl"/>
        </w:rPr>
        <w:t>Asociación Española del Gas</w:t>
      </w:r>
      <w:r>
        <w:rPr>
          <w:lang w:val="es-ES_tradnl"/>
        </w:rPr>
        <w:t xml:space="preserve"> (</w:t>
      </w:r>
      <w:r w:rsidRPr="00B35E14">
        <w:rPr>
          <w:lang w:val="es-ES_tradnl"/>
        </w:rPr>
        <w:t>SEDIGAS</w:t>
      </w:r>
      <w:r>
        <w:rPr>
          <w:lang w:val="es-ES_tradnl"/>
        </w:rPr>
        <w:t>). April 2021.</w:t>
      </w:r>
      <w:bookmarkEnd w:id="86"/>
      <w:bookmarkEnd w:id="99"/>
    </w:p>
    <w:p w14:paraId="3DA847B4" w14:textId="54E2DD29" w:rsidR="00F25DE1" w:rsidRPr="00F25DE1" w:rsidRDefault="00F25DE1" w:rsidP="00F25DE1">
      <w:pPr>
        <w:numPr>
          <w:ilvl w:val="0"/>
          <w:numId w:val="16"/>
        </w:numPr>
        <w:spacing w:before="120" w:after="0" w:line="276" w:lineRule="auto"/>
        <w:ind w:left="1134" w:hanging="680"/>
        <w:jc w:val="both"/>
      </w:pPr>
      <w:bookmarkStart w:id="100" w:name="_Ref96612860"/>
      <w:r w:rsidRPr="006F284E">
        <w:t>Europe’s Local Hydrogen Networks</w:t>
      </w:r>
      <w:r>
        <w:t>. Part</w:t>
      </w:r>
      <w:r w:rsidRPr="006F284E">
        <w:t xml:space="preserve"> 1: Local gas networks are getting ready to convert</w:t>
      </w:r>
      <w:r>
        <w:t>. Ready4H2 Project. December 2021.</w:t>
      </w:r>
      <w:bookmarkEnd w:id="100"/>
      <w:r w:rsidRPr="00F25DE1">
        <w:t xml:space="preserve"> </w:t>
      </w:r>
    </w:p>
    <w:p w14:paraId="7A51CE80" w14:textId="77777777" w:rsidR="00F25DE1" w:rsidRPr="00F25DE1" w:rsidRDefault="00F25DE1" w:rsidP="00F25DE1">
      <w:pPr>
        <w:numPr>
          <w:ilvl w:val="0"/>
          <w:numId w:val="16"/>
        </w:numPr>
        <w:spacing w:before="120" w:after="0" w:line="276" w:lineRule="auto"/>
        <w:ind w:left="1134" w:hanging="708"/>
        <w:jc w:val="both"/>
      </w:pPr>
      <w:r w:rsidRPr="00F25DE1">
        <w:t>American Gas Association, Speed of Sound in Natural Gas and Other Related Hydrocarbon Gases. AGA Report no 10 (2003)</w:t>
      </w:r>
    </w:p>
    <w:p w14:paraId="2F6BF1E6" w14:textId="77777777" w:rsidR="00F25DE1" w:rsidRPr="008750D3" w:rsidRDefault="00F25DE1" w:rsidP="00F25DE1">
      <w:pPr>
        <w:numPr>
          <w:ilvl w:val="0"/>
          <w:numId w:val="16"/>
        </w:numPr>
        <w:spacing w:before="120" w:after="0" w:line="276" w:lineRule="auto"/>
        <w:ind w:left="1134" w:hanging="708"/>
        <w:jc w:val="both"/>
        <w:rPr>
          <w:lang w:val="nl-NL"/>
        </w:rPr>
      </w:pPr>
      <w:r w:rsidRPr="008750D3">
        <w:rPr>
          <w:lang w:val="nl-NL"/>
        </w:rPr>
        <w:t>H.-B. Böckler, Messgerichtigkeit von mechanischen Gasmessgeräten bei Verwendung von unterschiedlichen Gasbeschaffenheiten, PhD thesis Universität Duisburg-Essen, 2019</w:t>
      </w:r>
    </w:p>
    <w:p w14:paraId="5B2BBF86" w14:textId="77777777" w:rsidR="00F25DE1" w:rsidRPr="00F25DE1" w:rsidRDefault="00F25DE1" w:rsidP="00F25DE1">
      <w:pPr>
        <w:numPr>
          <w:ilvl w:val="0"/>
          <w:numId w:val="16"/>
        </w:numPr>
        <w:spacing w:before="120" w:after="0" w:line="276" w:lineRule="auto"/>
        <w:ind w:left="1134" w:hanging="708"/>
        <w:jc w:val="both"/>
      </w:pPr>
      <w:r w:rsidRPr="00F25DE1">
        <w:t>Chichester J.C. and Huber M.L., Documentation and Assessment of the Transport Property Model for Mixtures Implemented in NIST REFPROP (Version 8.0). NIST (2008)</w:t>
      </w:r>
    </w:p>
    <w:p w14:paraId="385F4FA5" w14:textId="77777777" w:rsidR="00F25DE1" w:rsidRPr="00F25DE1" w:rsidRDefault="00F25DE1" w:rsidP="00F25DE1">
      <w:pPr>
        <w:numPr>
          <w:ilvl w:val="0"/>
          <w:numId w:val="16"/>
        </w:numPr>
        <w:spacing w:before="120" w:after="0" w:line="276" w:lineRule="auto"/>
        <w:ind w:left="1134" w:hanging="708"/>
        <w:jc w:val="both"/>
      </w:pPr>
      <w:r w:rsidRPr="00F25DE1">
        <w:t xml:space="preserve">Ely J.F. and Hanley H.J.M., Prediction of transport properties. 1. Viscosity of fluids and mixtures, Ind. Eng. Chem. </w:t>
      </w:r>
      <w:proofErr w:type="spellStart"/>
      <w:r w:rsidRPr="00F25DE1">
        <w:t>Fundamen</w:t>
      </w:r>
      <w:proofErr w:type="spellEnd"/>
      <w:r w:rsidRPr="00F25DE1">
        <w:t xml:space="preserve">. 20, 323-332 (1981) </w:t>
      </w:r>
    </w:p>
    <w:p w14:paraId="3B7F5039" w14:textId="77777777" w:rsidR="00F25DE1" w:rsidRPr="00F25DE1" w:rsidRDefault="00F25DE1" w:rsidP="00F25DE1">
      <w:pPr>
        <w:numPr>
          <w:ilvl w:val="0"/>
          <w:numId w:val="16"/>
        </w:numPr>
        <w:spacing w:before="120" w:after="0" w:line="276" w:lineRule="auto"/>
        <w:ind w:left="1134" w:hanging="708"/>
        <w:jc w:val="both"/>
      </w:pPr>
      <w:proofErr w:type="spellStart"/>
      <w:r w:rsidRPr="00F25DE1">
        <w:t>Hassanpouryouzband</w:t>
      </w:r>
      <w:proofErr w:type="spellEnd"/>
      <w:r w:rsidRPr="00F25DE1">
        <w:t xml:space="preserve"> A., Joonaki E., </w:t>
      </w:r>
      <w:proofErr w:type="spellStart"/>
      <w:r w:rsidRPr="00F25DE1">
        <w:t>Edlmann</w:t>
      </w:r>
      <w:proofErr w:type="spellEnd"/>
      <w:r w:rsidRPr="00F25DE1">
        <w:t xml:space="preserve"> K., Heinemann N. and Yang J., Thermodynamic and transport properties of hydrogen containing streams, Nature 7:222, 1-14 (2020). </w:t>
      </w:r>
    </w:p>
    <w:p w14:paraId="1E356809" w14:textId="77777777" w:rsidR="00F25DE1" w:rsidRPr="00F25DE1" w:rsidRDefault="00F25DE1" w:rsidP="00F25DE1">
      <w:pPr>
        <w:numPr>
          <w:ilvl w:val="0"/>
          <w:numId w:val="16"/>
        </w:numPr>
        <w:spacing w:before="120" w:after="0" w:line="276" w:lineRule="auto"/>
        <w:ind w:left="1134" w:hanging="708"/>
        <w:jc w:val="both"/>
      </w:pPr>
      <w:r w:rsidRPr="00F25DE1">
        <w:t xml:space="preserve">Hernández-Gómez R., </w:t>
      </w:r>
      <w:proofErr w:type="spellStart"/>
      <w:r w:rsidRPr="00F25DE1">
        <w:t>Tuma</w:t>
      </w:r>
      <w:proofErr w:type="spellEnd"/>
      <w:r w:rsidRPr="00F25DE1">
        <w:t xml:space="preserve"> D., Lozano-Martín </w:t>
      </w:r>
      <w:proofErr w:type="gramStart"/>
      <w:r w:rsidRPr="00F25DE1">
        <w:t>D.</w:t>
      </w:r>
      <w:proofErr w:type="gramEnd"/>
      <w:r w:rsidRPr="00F25DE1">
        <w:t xml:space="preserve"> and Chamorro C.R., Accurate experimental (p, r, T) data of natural gas mixtures for the assessment of reference equations of state when dealing with hydrogen-enriched natural gas, Int. J. Hydrogen Energy. 43, 21983-21998 (2018) </w:t>
      </w:r>
    </w:p>
    <w:p w14:paraId="01E4E622" w14:textId="77777777" w:rsidR="00F25DE1" w:rsidRPr="00F25DE1" w:rsidRDefault="00F25DE1" w:rsidP="00F25DE1">
      <w:pPr>
        <w:numPr>
          <w:ilvl w:val="0"/>
          <w:numId w:val="16"/>
        </w:numPr>
        <w:spacing w:before="120" w:after="0" w:line="276" w:lineRule="auto"/>
        <w:ind w:left="1134" w:hanging="708"/>
        <w:jc w:val="both"/>
      </w:pPr>
      <w:r w:rsidRPr="00F25DE1">
        <w:t xml:space="preserve">Honeywell, </w:t>
      </w:r>
      <w:proofErr w:type="spellStart"/>
      <w:r w:rsidRPr="00F25DE1">
        <w:t>Unisim</w:t>
      </w:r>
      <w:proofErr w:type="spellEnd"/>
      <w:r w:rsidRPr="00F25DE1">
        <w:t xml:space="preserve"> Design Simulation Basis Reference Guide. (2010)</w:t>
      </w:r>
    </w:p>
    <w:p w14:paraId="455D570E" w14:textId="77777777" w:rsidR="00F25DE1" w:rsidRPr="00F25DE1" w:rsidRDefault="00F25DE1" w:rsidP="00F25DE1">
      <w:pPr>
        <w:numPr>
          <w:ilvl w:val="0"/>
          <w:numId w:val="16"/>
        </w:numPr>
        <w:spacing w:before="120" w:after="0" w:line="276" w:lineRule="auto"/>
        <w:ind w:left="1134" w:hanging="708"/>
        <w:jc w:val="both"/>
      </w:pPr>
      <w:r w:rsidRPr="00F25DE1">
        <w:t xml:space="preserve">ISO 20765-2, Natural gas - Calculation of thermodynamic properties - part 2: Single-phase properties (gas, </w:t>
      </w:r>
      <w:proofErr w:type="gramStart"/>
      <w:r w:rsidRPr="00F25DE1">
        <w:t>liquid</w:t>
      </w:r>
      <w:proofErr w:type="gramEnd"/>
      <w:r w:rsidRPr="00F25DE1">
        <w:t xml:space="preserve"> and dense fluid) for extended ranges of application (2015)</w:t>
      </w:r>
    </w:p>
    <w:p w14:paraId="28E1907A" w14:textId="77777777" w:rsidR="00F25DE1" w:rsidRPr="00F25DE1" w:rsidRDefault="00F25DE1" w:rsidP="00F25DE1">
      <w:pPr>
        <w:numPr>
          <w:ilvl w:val="0"/>
          <w:numId w:val="16"/>
        </w:numPr>
        <w:spacing w:before="120" w:after="0" w:line="276" w:lineRule="auto"/>
        <w:ind w:left="1134" w:hanging="708"/>
        <w:jc w:val="both"/>
      </w:pPr>
      <w:r w:rsidRPr="00F25DE1">
        <w:t>Kunz O. and Wagner W. The GERG-2008 Wide-Range Equation of State for Natural Gases and Other Mixtures: An Expansion of GERG-2004. J. Chem. Eng. Data 57 3032-3091 (2012)</w:t>
      </w:r>
    </w:p>
    <w:p w14:paraId="7070615F" w14:textId="77777777" w:rsidR="00F25DE1" w:rsidRPr="00F25DE1" w:rsidRDefault="00F25DE1" w:rsidP="00F25DE1">
      <w:pPr>
        <w:numPr>
          <w:ilvl w:val="0"/>
          <w:numId w:val="16"/>
        </w:numPr>
        <w:spacing w:before="120" w:after="0" w:line="276" w:lineRule="auto"/>
        <w:ind w:left="1134" w:hanging="708"/>
        <w:jc w:val="both"/>
      </w:pPr>
      <w:r w:rsidRPr="00F25DE1">
        <w:t xml:space="preserve">Lozano-Martin D., Carmen Martin M., Chamorro C.R., </w:t>
      </w:r>
      <w:proofErr w:type="spellStart"/>
      <w:r w:rsidRPr="00F25DE1">
        <w:t>Tuma</w:t>
      </w:r>
      <w:proofErr w:type="spellEnd"/>
      <w:r w:rsidRPr="00F25DE1">
        <w:t xml:space="preserve"> D., Segovia J.J., Speed of sound for three binary (CH4+H2) mixtures from p</w:t>
      </w:r>
      <w:proofErr w:type="gramStart"/>
      <w:r w:rsidRPr="00F25DE1">
        <w:t>=(</w:t>
      </w:r>
      <w:proofErr w:type="gramEnd"/>
      <w:r w:rsidRPr="00F25DE1">
        <w:t xml:space="preserve">0.5 up to 20) MPa at T=(273.16 to 375) K, Int. J. Hydrogen Energy. 45, 4765-4783 (2020) </w:t>
      </w:r>
    </w:p>
    <w:p w14:paraId="22547D8A" w14:textId="77777777" w:rsidR="00F25DE1" w:rsidRPr="00F25DE1" w:rsidRDefault="00F25DE1" w:rsidP="00F25DE1">
      <w:pPr>
        <w:numPr>
          <w:ilvl w:val="0"/>
          <w:numId w:val="16"/>
        </w:numPr>
        <w:spacing w:before="120" w:after="0" w:line="276" w:lineRule="auto"/>
        <w:ind w:left="1134" w:hanging="708"/>
        <w:jc w:val="both"/>
      </w:pPr>
      <w:r w:rsidRPr="00F25DE1">
        <w:t xml:space="preserve">MacDonald M., Anderson D., Isaac T., Mahmood S., Accuracy testing of domestic gas flow meters with 20% hydrogen, NSFMW (2021) </w:t>
      </w:r>
    </w:p>
    <w:p w14:paraId="1E60CCB5" w14:textId="77777777" w:rsidR="00F25DE1" w:rsidRPr="00F25DE1" w:rsidRDefault="00F25DE1" w:rsidP="00F25DE1">
      <w:pPr>
        <w:numPr>
          <w:ilvl w:val="0"/>
          <w:numId w:val="16"/>
        </w:numPr>
        <w:spacing w:before="120" w:after="0" w:line="276" w:lineRule="auto"/>
        <w:ind w:left="1134" w:hanging="708"/>
        <w:jc w:val="both"/>
      </w:pPr>
      <w:r w:rsidRPr="00F25DE1">
        <w:t xml:space="preserve">Poling B.E., </w:t>
      </w:r>
      <w:proofErr w:type="spellStart"/>
      <w:r w:rsidRPr="00F25DE1">
        <w:t>Prausnitz</w:t>
      </w:r>
      <w:proofErr w:type="spellEnd"/>
      <w:r w:rsidRPr="00F25DE1">
        <w:t xml:space="preserve"> J.M. and O’Connell J.P., The Properties of Gases and Liquids, 5th ed. McGraw-Hill (2004)</w:t>
      </w:r>
    </w:p>
    <w:p w14:paraId="029A10BA" w14:textId="77777777" w:rsidR="00F25DE1" w:rsidRPr="00F25DE1" w:rsidRDefault="00F25DE1" w:rsidP="00F25DE1">
      <w:pPr>
        <w:numPr>
          <w:ilvl w:val="0"/>
          <w:numId w:val="16"/>
        </w:numPr>
        <w:spacing w:before="120" w:after="0" w:line="276" w:lineRule="auto"/>
        <w:ind w:left="1134" w:hanging="708"/>
        <w:jc w:val="both"/>
      </w:pPr>
      <w:r w:rsidRPr="00F25DE1">
        <w:t xml:space="preserve">Richter M., Ben </w:t>
      </w:r>
      <w:proofErr w:type="spellStart"/>
      <w:r w:rsidRPr="00F25DE1">
        <w:t>Souissi</w:t>
      </w:r>
      <w:proofErr w:type="spellEnd"/>
      <w:r w:rsidRPr="00F25DE1">
        <w:t xml:space="preserve"> M.A., Span </w:t>
      </w:r>
      <w:proofErr w:type="gramStart"/>
      <w:r w:rsidRPr="00F25DE1">
        <w:t>R.</w:t>
      </w:r>
      <w:proofErr w:type="gramEnd"/>
      <w:r w:rsidRPr="00F25DE1">
        <w:t xml:space="preserve"> and </w:t>
      </w:r>
      <w:proofErr w:type="spellStart"/>
      <w:r w:rsidRPr="00F25DE1">
        <w:t>Schley</w:t>
      </w:r>
      <w:proofErr w:type="spellEnd"/>
      <w:r w:rsidRPr="00F25DE1">
        <w:t xml:space="preserve"> P., Accurate (p, ρ, T, x) Measurements of Hydrogen-Enriched Natural-Gas Mixtures at T = (273.15, 283.15, and 293.15) K with Pressures up to 8 MPa, J. Chem. Eng. Data. 59, 2021-2029 (2014) </w:t>
      </w:r>
    </w:p>
    <w:p w14:paraId="6B80624B" w14:textId="77777777" w:rsidR="00F25DE1" w:rsidRPr="00F25DE1" w:rsidRDefault="00F25DE1" w:rsidP="00F25DE1">
      <w:pPr>
        <w:numPr>
          <w:ilvl w:val="0"/>
          <w:numId w:val="16"/>
        </w:numPr>
        <w:spacing w:before="120" w:after="0" w:line="276" w:lineRule="auto"/>
        <w:ind w:left="1134" w:hanging="708"/>
        <w:jc w:val="both"/>
      </w:pPr>
      <w:r w:rsidRPr="00F25DE1">
        <w:t xml:space="preserve">Starling K.E. and </w:t>
      </w:r>
      <w:proofErr w:type="spellStart"/>
      <w:r w:rsidRPr="00F25DE1">
        <w:t>Savidge</w:t>
      </w:r>
      <w:proofErr w:type="spellEnd"/>
      <w:r w:rsidRPr="00F25DE1">
        <w:t xml:space="preserve"> J.L. Compressibility factors of natural gas and other related hydrocarbon gases.  AGA Report no 8 (1992).</w:t>
      </w:r>
    </w:p>
    <w:p w14:paraId="366E0B07" w14:textId="3747D654" w:rsidR="00F25DE1" w:rsidRDefault="00F25DE1" w:rsidP="00F25DE1">
      <w:pPr>
        <w:numPr>
          <w:ilvl w:val="0"/>
          <w:numId w:val="16"/>
        </w:numPr>
        <w:spacing w:before="120" w:after="0" w:line="276" w:lineRule="auto"/>
        <w:ind w:left="1134" w:hanging="708"/>
        <w:jc w:val="both"/>
      </w:pPr>
      <w:r w:rsidRPr="00F25DE1">
        <w:t>Workamp M., Schakel M., Effect of hydrogen admixture on the accuracy of a rotary flow meter, VSL NewGasMet (2021)</w:t>
      </w:r>
    </w:p>
    <w:p w14:paraId="41199849" w14:textId="0DF3FDCB" w:rsidR="00F25DE1" w:rsidRDefault="00F25DE1" w:rsidP="00F25DE1">
      <w:pPr>
        <w:spacing w:before="120" w:after="0" w:line="276" w:lineRule="auto"/>
        <w:ind w:left="1134" w:hanging="708"/>
        <w:jc w:val="both"/>
      </w:pPr>
    </w:p>
    <w:p w14:paraId="645BFCFB" w14:textId="77777777" w:rsidR="00F25DE1" w:rsidRDefault="00F25DE1" w:rsidP="00F25DE1">
      <w:pPr>
        <w:spacing w:before="120" w:after="0" w:line="276" w:lineRule="auto"/>
        <w:ind w:left="1134" w:hanging="708"/>
        <w:jc w:val="both"/>
      </w:pPr>
    </w:p>
    <w:p w14:paraId="74B88C1E" w14:textId="77777777" w:rsidR="00F25DE1" w:rsidRDefault="00F25DE1" w:rsidP="00F25DE1">
      <w:pPr>
        <w:spacing w:line="276" w:lineRule="auto"/>
        <w:ind w:left="454"/>
      </w:pPr>
    </w:p>
    <w:p w14:paraId="5FE40A1E" w14:textId="4A6501B5" w:rsidR="00ED5319" w:rsidRDefault="00ED5319" w:rsidP="00ED5319"/>
    <w:p w14:paraId="53EDEA8F" w14:textId="694C5F37" w:rsidR="00ED5319" w:rsidRDefault="00ED5319" w:rsidP="00F668C6">
      <w:pPr>
        <w:jc w:val="both"/>
      </w:pPr>
    </w:p>
    <w:p w14:paraId="3F3D6E25" w14:textId="144B04EE" w:rsidR="00ED5319" w:rsidRDefault="00ED5319" w:rsidP="00ED5319">
      <w:pPr>
        <w:pStyle w:val="Heading1"/>
        <w:jc w:val="both"/>
      </w:pPr>
      <w:bookmarkStart w:id="101" w:name="_Toc121830954"/>
      <w:r>
        <w:lastRenderedPageBreak/>
        <w:t xml:space="preserve">ANNEX 1 </w:t>
      </w:r>
      <w:proofErr w:type="spellStart"/>
      <w:r w:rsidRPr="00ED5319">
        <w:t>Marcogaz</w:t>
      </w:r>
      <w:proofErr w:type="spellEnd"/>
      <w:r w:rsidRPr="00ED5319">
        <w:t xml:space="preserve"> infographic about hydrogen admission into the existing natural gas infrastructure and end use</w:t>
      </w:r>
      <w:bookmarkEnd w:id="101"/>
    </w:p>
    <w:p w14:paraId="1D08CA12" w14:textId="753CE370" w:rsidR="00ED5319" w:rsidRDefault="00ED5319" w:rsidP="00ED5319"/>
    <w:p w14:paraId="5F06EDE4" w14:textId="77777777" w:rsidR="00ED5319" w:rsidRPr="009F6F8E" w:rsidRDefault="00ED5319" w:rsidP="00ED5319">
      <w:pPr>
        <w:spacing w:line="276" w:lineRule="auto"/>
        <w:jc w:val="both"/>
      </w:pPr>
      <w:r w:rsidRPr="00CA0F66">
        <w:t>Th</w:t>
      </w:r>
      <w:r>
        <w:t>is</w:t>
      </w:r>
      <w:r w:rsidRPr="00CA0F66">
        <w:t xml:space="preserve"> infographic focuses on material aspects and functional principles</w:t>
      </w:r>
      <w:r>
        <w:t>.</w:t>
      </w:r>
      <w:r w:rsidRPr="00CA0F66">
        <w:t xml:space="preserve"> It does not consider the effect of increasing levels of hydrogen on performance</w:t>
      </w:r>
      <w:r>
        <w:t xml:space="preserve"> and</w:t>
      </w:r>
      <w:r w:rsidRPr="00CA0F66">
        <w:t xml:space="preserve"> efficiency</w:t>
      </w:r>
      <w:r>
        <w:t>.</w:t>
      </w:r>
    </w:p>
    <w:p w14:paraId="3BEE23CB" w14:textId="77777777" w:rsidR="00ED5319" w:rsidRPr="00ED5319" w:rsidRDefault="00ED5319" w:rsidP="00ED5319"/>
    <w:p w14:paraId="1B965A3D" w14:textId="77777777" w:rsidR="00ED5319" w:rsidRDefault="00ED5319" w:rsidP="00F668C6">
      <w:pPr>
        <w:jc w:val="both"/>
      </w:pPr>
    </w:p>
    <w:p w14:paraId="0373B63D" w14:textId="77777777" w:rsidR="00ED5319" w:rsidRDefault="00ED5319" w:rsidP="00F668C6">
      <w:pPr>
        <w:jc w:val="both"/>
      </w:pPr>
    </w:p>
    <w:p w14:paraId="1D9DBB3C" w14:textId="77777777" w:rsidR="00ED5319" w:rsidRDefault="00ED5319" w:rsidP="00F668C6">
      <w:pPr>
        <w:jc w:val="both"/>
      </w:pPr>
    </w:p>
    <w:p w14:paraId="63D7A715" w14:textId="77777777" w:rsidR="00ED5319" w:rsidRDefault="00ED5319" w:rsidP="00F668C6">
      <w:pPr>
        <w:jc w:val="both"/>
      </w:pPr>
    </w:p>
    <w:p w14:paraId="0548798B" w14:textId="77777777" w:rsidR="00ED5319" w:rsidRDefault="00ED5319" w:rsidP="00F668C6">
      <w:pPr>
        <w:jc w:val="both"/>
      </w:pPr>
    </w:p>
    <w:p w14:paraId="5E4FF202" w14:textId="77777777" w:rsidR="00ED5319" w:rsidRDefault="00ED5319" w:rsidP="00F668C6">
      <w:pPr>
        <w:jc w:val="both"/>
      </w:pPr>
    </w:p>
    <w:p w14:paraId="0432CE62" w14:textId="77777777" w:rsidR="00ED5319" w:rsidRDefault="00ED5319" w:rsidP="00F668C6">
      <w:pPr>
        <w:jc w:val="both"/>
      </w:pPr>
    </w:p>
    <w:p w14:paraId="06E7AC56" w14:textId="77777777" w:rsidR="00ED5319" w:rsidRDefault="00ED5319" w:rsidP="00F668C6">
      <w:pPr>
        <w:jc w:val="both"/>
      </w:pPr>
    </w:p>
    <w:p w14:paraId="2EF60A8A" w14:textId="2C2447EA" w:rsidR="00ED5319" w:rsidRDefault="00ED5319" w:rsidP="00F668C6">
      <w:pPr>
        <w:jc w:val="both"/>
        <w:sectPr w:rsidR="00ED5319" w:rsidSect="002C088E">
          <w:pgSz w:w="11906" w:h="16838"/>
          <w:pgMar w:top="1440" w:right="1440" w:bottom="1134" w:left="1440" w:header="708" w:footer="708" w:gutter="0"/>
          <w:cols w:space="708"/>
          <w:docGrid w:linePitch="360"/>
        </w:sectPr>
      </w:pPr>
    </w:p>
    <w:p w14:paraId="07FC0124" w14:textId="325A894A" w:rsidR="00ED5319" w:rsidRDefault="00A34F3B" w:rsidP="00A34F3B">
      <w:pPr>
        <w:jc w:val="center"/>
      </w:pPr>
      <w:r>
        <w:rPr>
          <w:noProof/>
        </w:rPr>
        <w:lastRenderedPageBreak/>
        <w:drawing>
          <wp:inline distT="0" distB="0" distL="0" distR="0" wp14:anchorId="5651A90F" wp14:editId="15CF81BD">
            <wp:extent cx="7601560" cy="4680000"/>
            <wp:effectExtent l="0" t="0" r="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a:extLst>
                        <a:ext uri="{28A0092B-C50C-407E-A947-70E740481C1C}">
                          <a14:useLocalDpi xmlns:a14="http://schemas.microsoft.com/office/drawing/2010/main" val="0"/>
                        </a:ext>
                      </a:extLst>
                    </a:blip>
                    <a:srcRect t="965"/>
                    <a:stretch/>
                  </pic:blipFill>
                  <pic:spPr bwMode="auto">
                    <a:xfrm>
                      <a:off x="0" y="0"/>
                      <a:ext cx="7601560" cy="4680000"/>
                    </a:xfrm>
                    <a:prstGeom prst="rect">
                      <a:avLst/>
                    </a:prstGeom>
                    <a:noFill/>
                    <a:ln>
                      <a:noFill/>
                    </a:ln>
                    <a:extLst>
                      <a:ext uri="{53640926-AAD7-44D8-BBD7-CCE9431645EC}">
                        <a14:shadowObscured xmlns:a14="http://schemas.microsoft.com/office/drawing/2010/main"/>
                      </a:ext>
                    </a:extLst>
                  </pic:spPr>
                </pic:pic>
              </a:graphicData>
            </a:graphic>
          </wp:inline>
        </w:drawing>
      </w:r>
    </w:p>
    <w:p w14:paraId="66CF971B" w14:textId="783DB94F" w:rsidR="00ED5319" w:rsidRDefault="00A34F3B" w:rsidP="0054609B">
      <w:pPr>
        <w:jc w:val="center"/>
        <w:sectPr w:rsidR="00ED5319" w:rsidSect="00ED5319">
          <w:pgSz w:w="16838" w:h="11906" w:orient="landscape"/>
          <w:pgMar w:top="1440" w:right="1440" w:bottom="1440" w:left="1134" w:header="709" w:footer="709" w:gutter="0"/>
          <w:pgNumType w:start="0"/>
          <w:cols w:space="708"/>
          <w:titlePg/>
          <w:docGrid w:linePitch="360"/>
        </w:sectPr>
      </w:pPr>
      <w:r>
        <w:rPr>
          <w:noProof/>
        </w:rPr>
        <w:drawing>
          <wp:inline distT="0" distB="0" distL="0" distR="0" wp14:anchorId="7682EBA9" wp14:editId="1797ACAE">
            <wp:extent cx="6381272" cy="720000"/>
            <wp:effectExtent l="0" t="0" r="635"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381272" cy="720000"/>
                    </a:xfrm>
                    <a:prstGeom prst="rect">
                      <a:avLst/>
                    </a:prstGeom>
                    <a:noFill/>
                  </pic:spPr>
                </pic:pic>
              </a:graphicData>
            </a:graphic>
          </wp:inline>
        </w:drawing>
      </w:r>
    </w:p>
    <w:p w14:paraId="77101689" w14:textId="72FAF904" w:rsidR="00ED5319" w:rsidRDefault="00ED5319" w:rsidP="00F668C6">
      <w:pPr>
        <w:jc w:val="both"/>
      </w:pPr>
    </w:p>
    <w:p w14:paraId="30DD0A0F" w14:textId="77777777" w:rsidR="0054609B" w:rsidRDefault="0054609B" w:rsidP="0054609B">
      <w:pPr>
        <w:jc w:val="center"/>
        <w:rPr>
          <w:i/>
          <w:noProof/>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D2BF4FE" w14:textId="77777777" w:rsidR="0054609B" w:rsidRDefault="0054609B" w:rsidP="0054609B">
      <w:pPr>
        <w:jc w:val="center"/>
        <w:rPr>
          <w:i/>
          <w:noProof/>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0B68E6F" w14:textId="77777777" w:rsidR="0054609B" w:rsidRDefault="0054609B" w:rsidP="0054609B">
      <w:pPr>
        <w:jc w:val="center"/>
        <w:rPr>
          <w:i/>
          <w:noProof/>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99FD528" w14:textId="2A6285DF" w:rsidR="0054609B" w:rsidRPr="00AC3C6B" w:rsidRDefault="0054609B" w:rsidP="0054609B">
      <w:pPr>
        <w:jc w:val="center"/>
        <w:rPr>
          <w:i/>
          <w:noProof/>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i/>
          <w:noProof/>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End of the report  </w:t>
      </w:r>
    </w:p>
    <w:p w14:paraId="21300F42" w14:textId="4BC613BE" w:rsidR="0054609B" w:rsidRDefault="0054609B" w:rsidP="00F668C6">
      <w:pPr>
        <w:jc w:val="both"/>
      </w:pPr>
    </w:p>
    <w:p w14:paraId="08F045C8" w14:textId="77777777" w:rsidR="0054609B" w:rsidRPr="001E7DA3" w:rsidRDefault="0054609B" w:rsidP="00F668C6">
      <w:pPr>
        <w:jc w:val="both"/>
      </w:pPr>
    </w:p>
    <w:sectPr w:rsidR="0054609B" w:rsidRPr="001E7DA3" w:rsidSect="00FC5B91">
      <w:pgSz w:w="11906" w:h="16838"/>
      <w:pgMar w:top="1440" w:right="1440" w:bottom="1134"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D4D2BB" w14:textId="77777777" w:rsidR="00B97B20" w:rsidRDefault="00B97B20" w:rsidP="00CD0078">
      <w:pPr>
        <w:spacing w:after="0" w:line="240" w:lineRule="auto"/>
      </w:pPr>
      <w:r>
        <w:separator/>
      </w:r>
    </w:p>
  </w:endnote>
  <w:endnote w:type="continuationSeparator" w:id="0">
    <w:p w14:paraId="013A4BEB" w14:textId="77777777" w:rsidR="00B97B20" w:rsidRDefault="00B97B20" w:rsidP="00CD00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1333251"/>
      <w:docPartObj>
        <w:docPartGallery w:val="Page Numbers (Bottom of Page)"/>
        <w:docPartUnique/>
      </w:docPartObj>
    </w:sdtPr>
    <w:sdtEndPr/>
    <w:sdtContent>
      <w:p w14:paraId="68B13124" w14:textId="77777777" w:rsidR="00CD0078" w:rsidRDefault="00CD0078">
        <w:pPr>
          <w:pStyle w:val="Footer"/>
        </w:pPr>
        <w:r w:rsidRPr="00CD0078">
          <w:rPr>
            <w:rFonts w:asciiTheme="majorHAnsi" w:eastAsiaTheme="majorEastAsia" w:hAnsiTheme="majorHAnsi" w:cstheme="majorBidi"/>
            <w:noProof/>
            <w:lang w:eastAsia="en-GB"/>
          </w:rPr>
          <mc:AlternateContent>
            <mc:Choice Requires="wps">
              <w:drawing>
                <wp:anchor distT="0" distB="0" distL="114300" distR="114300" simplePos="0" relativeHeight="251659264" behindDoc="0" locked="0" layoutInCell="1" allowOverlap="1" wp14:anchorId="698671A1" wp14:editId="35372A06">
                  <wp:simplePos x="0" y="0"/>
                  <wp:positionH relativeFrom="page">
                    <wp:posOffset>0</wp:posOffset>
                  </wp:positionH>
                  <wp:positionV relativeFrom="page">
                    <wp:posOffset>9953625</wp:posOffset>
                  </wp:positionV>
                  <wp:extent cx="762000" cy="736853"/>
                  <wp:effectExtent l="0" t="0" r="0" b="6350"/>
                  <wp:wrapNone/>
                  <wp:docPr id="11" name="Isosceles Tri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62000" cy="736853"/>
                          </a:xfrm>
                          <a:prstGeom prst="triangle">
                            <a:avLst>
                              <a:gd name="adj" fmla="val 100000"/>
                            </a:avLst>
                          </a:prstGeom>
                          <a:solidFill>
                            <a:schemeClr val="accent2"/>
                          </a:solidFill>
                          <a:ln>
                            <a:noFill/>
                          </a:ln>
                        </wps:spPr>
                        <wps:txbx>
                          <w:txbxContent>
                            <w:p w14:paraId="17E7E48A" w14:textId="77777777" w:rsidR="00CD0078" w:rsidRPr="00CD0078" w:rsidRDefault="00CD0078">
                              <w:pPr>
                                <w:jc w:val="center"/>
                                <w:rPr>
                                  <w:sz w:val="8"/>
                                  <w:szCs w:val="72"/>
                                </w:rPr>
                              </w:pPr>
                              <w:r w:rsidRPr="00CD0078">
                                <w:rPr>
                                  <w:rFonts w:eastAsiaTheme="minorEastAsia" w:cs="Times New Roman"/>
                                  <w:sz w:val="8"/>
                                </w:rPr>
                                <w:fldChar w:fldCharType="begin"/>
                              </w:r>
                              <w:r w:rsidRPr="00CD0078">
                                <w:rPr>
                                  <w:sz w:val="8"/>
                                </w:rPr>
                                <w:instrText xml:space="preserve"> PAGE    \* MERGEFORMAT </w:instrText>
                              </w:r>
                              <w:r w:rsidRPr="00CD0078">
                                <w:rPr>
                                  <w:rFonts w:eastAsiaTheme="minorEastAsia" w:cs="Times New Roman"/>
                                  <w:sz w:val="8"/>
                                </w:rPr>
                                <w:fldChar w:fldCharType="separate"/>
                              </w:r>
                              <w:r w:rsidR="00494D95" w:rsidRPr="00494D95">
                                <w:rPr>
                                  <w:rFonts w:asciiTheme="majorHAnsi" w:eastAsiaTheme="majorEastAsia" w:hAnsiTheme="majorHAnsi" w:cstheme="majorBidi"/>
                                  <w:noProof/>
                                  <w:color w:val="FFFFFF" w:themeColor="background1"/>
                                  <w:sz w:val="32"/>
                                  <w:szCs w:val="72"/>
                                </w:rPr>
                                <w:t>2</w:t>
                              </w:r>
                              <w:r w:rsidRPr="00CD0078">
                                <w:rPr>
                                  <w:rFonts w:asciiTheme="majorHAnsi" w:eastAsiaTheme="majorEastAsia" w:hAnsiTheme="majorHAnsi" w:cstheme="majorBidi"/>
                                  <w:noProof/>
                                  <w:color w:val="FFFFFF" w:themeColor="background1"/>
                                  <w:sz w:val="3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8671A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1" o:spid="_x0000_s1029" type="#_x0000_t5" style="position:absolute;margin-left:0;margin-top:783.75pt;width:60pt;height:58pt;flip:x;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" adj="21600" fillcolor="#ed7d31 [3205]" stroked="f">
                  <v:textbox>
                    <w:txbxContent>
                      <w:p w14:paraId="17E7E48A" w14:textId="77777777" w:rsidR="00CD0078" w:rsidRPr="00CD0078" w:rsidRDefault="00CD0078">
                        <w:pPr>
                          <w:jc w:val="center"/>
                          <w:rPr>
                            <w:sz w:val="8"/>
                            <w:szCs w:val="72"/>
                          </w:rPr>
                        </w:pPr>
                        <w:r w:rsidRPr="00CD0078">
                          <w:rPr>
                            <w:rFonts w:eastAsiaTheme="minorEastAsia" w:cs="Times New Roman"/>
                            <w:sz w:val="8"/>
                          </w:rPr>
                          <w:fldChar w:fldCharType="begin"/>
                        </w:r>
                        <w:r w:rsidRPr="00CD0078">
                          <w:rPr>
                            <w:sz w:val="8"/>
                          </w:rPr>
                          <w:instrText xml:space="preserve"> PAGE    \* MERGEFORMAT </w:instrText>
                        </w:r>
                        <w:r w:rsidRPr="00CD0078">
                          <w:rPr>
                            <w:rFonts w:eastAsiaTheme="minorEastAsia" w:cs="Times New Roman"/>
                            <w:sz w:val="8"/>
                          </w:rPr>
                          <w:fldChar w:fldCharType="separate"/>
                        </w:r>
                        <w:r w:rsidR="00494D95" w:rsidRPr="00494D95">
                          <w:rPr>
                            <w:rFonts w:asciiTheme="majorHAnsi" w:eastAsiaTheme="majorEastAsia" w:hAnsiTheme="majorHAnsi" w:cstheme="majorBidi"/>
                            <w:noProof/>
                            <w:color w:val="FFFFFF" w:themeColor="background1"/>
                            <w:sz w:val="32"/>
                            <w:szCs w:val="72"/>
                          </w:rPr>
                          <w:t>2</w:t>
                        </w:r>
                        <w:r w:rsidRPr="00CD0078">
                          <w:rPr>
                            <w:rFonts w:asciiTheme="majorHAnsi" w:eastAsiaTheme="majorEastAsia" w:hAnsiTheme="majorHAnsi" w:cstheme="majorBidi"/>
                            <w:noProof/>
                            <w:color w:val="FFFFFF" w:themeColor="background1"/>
                            <w:sz w:val="3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AEA446" w14:textId="77777777" w:rsidR="00B97B20" w:rsidRDefault="00B97B20" w:rsidP="00CD0078">
      <w:pPr>
        <w:spacing w:after="0" w:line="240" w:lineRule="auto"/>
      </w:pPr>
      <w:r>
        <w:separator/>
      </w:r>
    </w:p>
  </w:footnote>
  <w:footnote w:type="continuationSeparator" w:id="0">
    <w:p w14:paraId="227CD064" w14:textId="77777777" w:rsidR="00B97B20" w:rsidRDefault="00B97B20" w:rsidP="00CD0078">
      <w:pPr>
        <w:spacing w:after="0" w:line="240" w:lineRule="auto"/>
      </w:pPr>
      <w:r>
        <w:continuationSeparator/>
      </w:r>
    </w:p>
  </w:footnote>
  <w:footnote w:id="1">
    <w:p w14:paraId="6E6B82BE" w14:textId="77777777" w:rsidR="009A0813" w:rsidRDefault="00422D1F" w:rsidP="00422D1F">
      <w:pPr>
        <w:pStyle w:val="FootnoteText"/>
        <w:spacing w:before="120" w:after="120"/>
        <w:jc w:val="both"/>
        <w:rPr>
          <w:sz w:val="16"/>
          <w:szCs w:val="16"/>
          <w:lang w:val="en-GB"/>
        </w:rPr>
      </w:pPr>
      <w:r w:rsidRPr="00F151FD">
        <w:rPr>
          <w:rStyle w:val="FootnoteReference"/>
        </w:rPr>
        <w:footnoteRef/>
      </w:r>
      <w:r>
        <w:rPr>
          <w:sz w:val="16"/>
          <w:szCs w:val="16"/>
          <w:lang w:val="en-GB"/>
        </w:rPr>
        <w:t xml:space="preserve"> According to European Union Agency for the Cooperation of Energy Regulators (ACER) data, available in </w:t>
      </w:r>
      <w:hyperlink r:id="rId1" w:history="1">
        <w:r w:rsidR="009A0813" w:rsidRPr="00C72444">
          <w:rPr>
            <w:rStyle w:val="Hyperlink"/>
            <w:sz w:val="16"/>
            <w:szCs w:val="16"/>
            <w:lang w:val="en-GB"/>
          </w:rPr>
          <w:t>https://www.acer.europa.eu/gas-factsheet</w:t>
        </w:r>
      </w:hyperlink>
      <w:r>
        <w:rPr>
          <w:sz w:val="16"/>
          <w:szCs w:val="16"/>
          <w:lang w:val="en-GB"/>
        </w:rPr>
        <w:t>.</w:t>
      </w:r>
    </w:p>
    <w:p w14:paraId="57E70BCF" w14:textId="56999257" w:rsidR="009A0813" w:rsidRDefault="009A0813" w:rsidP="00422D1F">
      <w:pPr>
        <w:pStyle w:val="FootnoteText"/>
        <w:spacing w:before="120" w:after="120"/>
        <w:jc w:val="both"/>
        <w:rPr>
          <w:sz w:val="16"/>
          <w:szCs w:val="16"/>
          <w:lang w:val="en-GB"/>
        </w:rPr>
      </w:pPr>
      <w:r w:rsidRPr="009A0813">
        <w:rPr>
          <w:sz w:val="16"/>
          <w:szCs w:val="16"/>
          <w:vertAlign w:val="superscript"/>
          <w:lang w:val="en-GB"/>
        </w:rPr>
        <w:t>2</w:t>
      </w:r>
      <w:r>
        <w:rPr>
          <w:sz w:val="16"/>
          <w:szCs w:val="16"/>
          <w:lang w:val="en-GB"/>
        </w:rPr>
        <w:t xml:space="preserve"> </w:t>
      </w:r>
      <w:r w:rsidRPr="009A0813">
        <w:rPr>
          <w:sz w:val="16"/>
          <w:szCs w:val="16"/>
          <w:lang w:val="en-GB"/>
        </w:rPr>
        <w:t xml:space="preserve">Final integrated national energy and climate plans for 2021 to 2030 submitted by Member States and European Commission’s individual assessment of each NECP are available in </w:t>
      </w:r>
      <w:hyperlink r:id="rId2" w:history="1">
        <w:r w:rsidRPr="0032587E">
          <w:rPr>
            <w:rStyle w:val="Hyperlink"/>
            <w:sz w:val="16"/>
            <w:szCs w:val="16"/>
            <w:lang w:val="en-GB"/>
          </w:rPr>
          <w:t>this link</w:t>
        </w:r>
        <w:bookmarkStart w:id="7" w:name="_Hlk110342078"/>
        <w:r w:rsidR="0032587E" w:rsidRPr="0032587E">
          <w:rPr>
            <w:rStyle w:val="Hyperlink"/>
            <w:sz w:val="16"/>
            <w:szCs w:val="16"/>
            <w:lang w:val="en-GB"/>
          </w:rPr>
          <w:t xml:space="preserve"> https://ec.europa.eu/info/energy-climate-change-environment/implementation-eu-countries/energy-and-climate-governance-and-reporting/national-energy-and-climate-plans_en</w:t>
        </w:r>
        <w:bookmarkEnd w:id="7"/>
      </w:hyperlink>
      <w:r w:rsidRPr="009A0813">
        <w:rPr>
          <w:sz w:val="16"/>
          <w:szCs w:val="16"/>
          <w:lang w:val="en-GB"/>
        </w:rPr>
        <w:t>.</w:t>
      </w:r>
    </w:p>
  </w:footnote>
  <w:footnote w:id="2">
    <w:p w14:paraId="1951C224" w14:textId="77777777" w:rsidR="00746E8D" w:rsidRPr="00671A05" w:rsidRDefault="00746E8D" w:rsidP="00746E8D">
      <w:pPr>
        <w:pStyle w:val="FootnoteText"/>
        <w:spacing w:before="120" w:after="120"/>
        <w:rPr>
          <w:sz w:val="16"/>
          <w:szCs w:val="16"/>
          <w:lang w:val="en-GB"/>
        </w:rPr>
      </w:pPr>
      <w:r w:rsidRPr="00F151FD">
        <w:rPr>
          <w:rStyle w:val="FootnoteReference"/>
        </w:rPr>
        <w:footnoteRef/>
      </w:r>
      <w:r w:rsidRPr="00671A05">
        <w:rPr>
          <w:sz w:val="16"/>
          <w:szCs w:val="16"/>
          <w:lang w:val="en-GB"/>
        </w:rPr>
        <w:t xml:space="preserve"> European Association for the Streamlining of Energy Exchange – gas (EASEE-gas).</w:t>
      </w:r>
    </w:p>
  </w:footnote>
  <w:footnote w:id="3">
    <w:p w14:paraId="31280C61" w14:textId="77777777" w:rsidR="00DF47A0" w:rsidRPr="00F642E8" w:rsidRDefault="00DF47A0" w:rsidP="00DF47A0">
      <w:pPr>
        <w:pStyle w:val="FootnoteText"/>
        <w:spacing w:before="120" w:after="120"/>
        <w:jc w:val="both"/>
        <w:rPr>
          <w:sz w:val="16"/>
          <w:szCs w:val="16"/>
          <w:lang w:val="en-GB"/>
        </w:rPr>
      </w:pPr>
      <w:r w:rsidRPr="00F151FD">
        <w:rPr>
          <w:rStyle w:val="FootnoteReference"/>
        </w:rPr>
        <w:footnoteRef/>
      </w:r>
      <w:r w:rsidRPr="00F642E8">
        <w:rPr>
          <w:sz w:val="16"/>
          <w:szCs w:val="16"/>
          <w:lang w:val="en-GB"/>
        </w:rPr>
        <w:t xml:space="preserve"> .</w:t>
      </w:r>
      <w:r w:rsidRPr="00924CD0">
        <w:rPr>
          <w:lang w:val="en-GB"/>
        </w:rPr>
        <w:t xml:space="preserve"> </w:t>
      </w:r>
      <w:r w:rsidRPr="00924CD0">
        <w:rPr>
          <w:sz w:val="16"/>
          <w:szCs w:val="16"/>
          <w:lang w:val="en-GB"/>
        </w:rPr>
        <w:t>EGIG is a co-operation between a group of seventeen major gas transmission system operators in Europe to gather data on the unintentional releases of gas in their pipeline transmission systems.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90787"/>
    <w:multiLevelType w:val="hybridMultilevel"/>
    <w:tmpl w:val="EDE29DE8"/>
    <w:lvl w:ilvl="0" w:tplc="040A0001">
      <w:start w:val="1"/>
      <w:numFmt w:val="bullet"/>
      <w:lvlText w:val=""/>
      <w:lvlJc w:val="left"/>
      <w:pPr>
        <w:ind w:left="1246" w:hanging="360"/>
      </w:pPr>
      <w:rPr>
        <w:rFonts w:ascii="Symbol" w:hAnsi="Symbol" w:hint="default"/>
      </w:rPr>
    </w:lvl>
    <w:lvl w:ilvl="1" w:tplc="040A0003" w:tentative="1">
      <w:start w:val="1"/>
      <w:numFmt w:val="bullet"/>
      <w:lvlText w:val="o"/>
      <w:lvlJc w:val="left"/>
      <w:pPr>
        <w:ind w:left="1966" w:hanging="360"/>
      </w:pPr>
      <w:rPr>
        <w:rFonts w:ascii="Courier New" w:hAnsi="Courier New" w:cs="Courier New" w:hint="default"/>
      </w:rPr>
    </w:lvl>
    <w:lvl w:ilvl="2" w:tplc="040A0005" w:tentative="1">
      <w:start w:val="1"/>
      <w:numFmt w:val="bullet"/>
      <w:lvlText w:val=""/>
      <w:lvlJc w:val="left"/>
      <w:pPr>
        <w:ind w:left="2686" w:hanging="360"/>
      </w:pPr>
      <w:rPr>
        <w:rFonts w:ascii="Wingdings" w:hAnsi="Wingdings" w:hint="default"/>
      </w:rPr>
    </w:lvl>
    <w:lvl w:ilvl="3" w:tplc="040A0001" w:tentative="1">
      <w:start w:val="1"/>
      <w:numFmt w:val="bullet"/>
      <w:lvlText w:val=""/>
      <w:lvlJc w:val="left"/>
      <w:pPr>
        <w:ind w:left="3406" w:hanging="360"/>
      </w:pPr>
      <w:rPr>
        <w:rFonts w:ascii="Symbol" w:hAnsi="Symbol" w:hint="default"/>
      </w:rPr>
    </w:lvl>
    <w:lvl w:ilvl="4" w:tplc="040A0003" w:tentative="1">
      <w:start w:val="1"/>
      <w:numFmt w:val="bullet"/>
      <w:lvlText w:val="o"/>
      <w:lvlJc w:val="left"/>
      <w:pPr>
        <w:ind w:left="4126" w:hanging="360"/>
      </w:pPr>
      <w:rPr>
        <w:rFonts w:ascii="Courier New" w:hAnsi="Courier New" w:cs="Courier New" w:hint="default"/>
      </w:rPr>
    </w:lvl>
    <w:lvl w:ilvl="5" w:tplc="040A0005" w:tentative="1">
      <w:start w:val="1"/>
      <w:numFmt w:val="bullet"/>
      <w:lvlText w:val=""/>
      <w:lvlJc w:val="left"/>
      <w:pPr>
        <w:ind w:left="4846" w:hanging="360"/>
      </w:pPr>
      <w:rPr>
        <w:rFonts w:ascii="Wingdings" w:hAnsi="Wingdings" w:hint="default"/>
      </w:rPr>
    </w:lvl>
    <w:lvl w:ilvl="6" w:tplc="040A0001" w:tentative="1">
      <w:start w:val="1"/>
      <w:numFmt w:val="bullet"/>
      <w:lvlText w:val=""/>
      <w:lvlJc w:val="left"/>
      <w:pPr>
        <w:ind w:left="5566" w:hanging="360"/>
      </w:pPr>
      <w:rPr>
        <w:rFonts w:ascii="Symbol" w:hAnsi="Symbol" w:hint="default"/>
      </w:rPr>
    </w:lvl>
    <w:lvl w:ilvl="7" w:tplc="040A0003" w:tentative="1">
      <w:start w:val="1"/>
      <w:numFmt w:val="bullet"/>
      <w:lvlText w:val="o"/>
      <w:lvlJc w:val="left"/>
      <w:pPr>
        <w:ind w:left="6286" w:hanging="360"/>
      </w:pPr>
      <w:rPr>
        <w:rFonts w:ascii="Courier New" w:hAnsi="Courier New" w:cs="Courier New" w:hint="default"/>
      </w:rPr>
    </w:lvl>
    <w:lvl w:ilvl="8" w:tplc="040A0005" w:tentative="1">
      <w:start w:val="1"/>
      <w:numFmt w:val="bullet"/>
      <w:lvlText w:val=""/>
      <w:lvlJc w:val="left"/>
      <w:pPr>
        <w:ind w:left="7006" w:hanging="360"/>
      </w:pPr>
      <w:rPr>
        <w:rFonts w:ascii="Wingdings" w:hAnsi="Wingdings" w:hint="default"/>
      </w:rPr>
    </w:lvl>
  </w:abstractNum>
  <w:abstractNum w:abstractNumId="1" w15:restartNumberingAfterBreak="0">
    <w:nsid w:val="02F94C93"/>
    <w:multiLevelType w:val="hybridMultilevel"/>
    <w:tmpl w:val="1F2E71B0"/>
    <w:lvl w:ilvl="0" w:tplc="0C0A0001">
      <w:start w:val="1"/>
      <w:numFmt w:val="bullet"/>
      <w:lvlText w:val=""/>
      <w:lvlJc w:val="left"/>
      <w:pPr>
        <w:ind w:left="720" w:hanging="360"/>
      </w:pPr>
      <w:rPr>
        <w:rFonts w:ascii="Symbol" w:hAnsi="Symbol" w:hint="default"/>
      </w:rPr>
    </w:lvl>
    <w:lvl w:ilvl="1" w:tplc="0C0A0005">
      <w:start w:val="1"/>
      <w:numFmt w:val="bullet"/>
      <w:lvlText w:val=""/>
      <w:lvlJc w:val="left"/>
      <w:pPr>
        <w:ind w:left="1440" w:hanging="360"/>
      </w:pPr>
      <w:rPr>
        <w:rFonts w:ascii="Wingdings" w:hAnsi="Wingdings" w:hint="default"/>
      </w:rPr>
    </w:lvl>
    <w:lvl w:ilvl="2" w:tplc="E3D63FE6">
      <w:start w:val="1"/>
      <w:numFmt w:val="bullet"/>
      <w:lvlText w:val="-"/>
      <w:lvlJc w:val="left"/>
      <w:pPr>
        <w:ind w:left="2160" w:hanging="360"/>
      </w:pPr>
      <w:rPr>
        <w:rFonts w:ascii="Calibri" w:hAnsi="Calibri" w:hint="default"/>
      </w:rPr>
    </w:lvl>
    <w:lvl w:ilvl="3" w:tplc="040A0005">
      <w:start w:val="1"/>
      <w:numFmt w:val="bullet"/>
      <w:lvlText w:val=""/>
      <w:lvlJc w:val="left"/>
      <w:pPr>
        <w:ind w:left="2880" w:hanging="360"/>
      </w:pPr>
      <w:rPr>
        <w:rFonts w:ascii="Wingdings" w:hAnsi="Wingdings"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64C3A90"/>
    <w:multiLevelType w:val="hybridMultilevel"/>
    <w:tmpl w:val="D9F65854"/>
    <w:lvl w:ilvl="0" w:tplc="0C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0715691C"/>
    <w:multiLevelType w:val="hybridMultilevel"/>
    <w:tmpl w:val="B8B445A0"/>
    <w:lvl w:ilvl="0" w:tplc="CD143092">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B74773"/>
    <w:multiLevelType w:val="hybridMultilevel"/>
    <w:tmpl w:val="A57C0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D07B02"/>
    <w:multiLevelType w:val="hybridMultilevel"/>
    <w:tmpl w:val="78168A9A"/>
    <w:lvl w:ilvl="0" w:tplc="CD143092">
      <w:start w:val="2"/>
      <w:numFmt w:val="bullet"/>
      <w:lvlText w:val="-"/>
      <w:lvlJc w:val="left"/>
      <w:pPr>
        <w:ind w:left="770" w:hanging="360"/>
      </w:pPr>
      <w:rPr>
        <w:rFonts w:ascii="Calibri" w:eastAsiaTheme="minorHAnsi" w:hAnsi="Calibri" w:cs="Calibri"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6" w15:restartNumberingAfterBreak="0">
    <w:nsid w:val="144B3765"/>
    <w:multiLevelType w:val="hybridMultilevel"/>
    <w:tmpl w:val="62C6DF0C"/>
    <w:lvl w:ilvl="0" w:tplc="8B408CAE">
      <w:start w:val="1"/>
      <w:numFmt w:val="decimal"/>
      <w:lvlText w:val="[%1]"/>
      <w:lvlJc w:val="left"/>
      <w:pPr>
        <w:ind w:left="928" w:hanging="360"/>
      </w:pPr>
      <w:rPr>
        <w:rFonts w:hint="default"/>
        <w:i w:val="0"/>
      </w:rPr>
    </w:lvl>
    <w:lvl w:ilvl="1" w:tplc="0C0A0019" w:tentative="1">
      <w:start w:val="1"/>
      <w:numFmt w:val="lowerLetter"/>
      <w:lvlText w:val="%2."/>
      <w:lvlJc w:val="left"/>
      <w:pPr>
        <w:ind w:left="939" w:hanging="360"/>
      </w:pPr>
    </w:lvl>
    <w:lvl w:ilvl="2" w:tplc="0C0A001B" w:tentative="1">
      <w:start w:val="1"/>
      <w:numFmt w:val="lowerRoman"/>
      <w:lvlText w:val="%3."/>
      <w:lvlJc w:val="right"/>
      <w:pPr>
        <w:ind w:left="1659" w:hanging="180"/>
      </w:pPr>
    </w:lvl>
    <w:lvl w:ilvl="3" w:tplc="0C0A000F" w:tentative="1">
      <w:start w:val="1"/>
      <w:numFmt w:val="decimal"/>
      <w:lvlText w:val="%4."/>
      <w:lvlJc w:val="left"/>
      <w:pPr>
        <w:ind w:left="2379" w:hanging="360"/>
      </w:pPr>
    </w:lvl>
    <w:lvl w:ilvl="4" w:tplc="0C0A0019" w:tentative="1">
      <w:start w:val="1"/>
      <w:numFmt w:val="lowerLetter"/>
      <w:lvlText w:val="%5."/>
      <w:lvlJc w:val="left"/>
      <w:pPr>
        <w:ind w:left="3099" w:hanging="360"/>
      </w:pPr>
    </w:lvl>
    <w:lvl w:ilvl="5" w:tplc="0C0A001B" w:tentative="1">
      <w:start w:val="1"/>
      <w:numFmt w:val="lowerRoman"/>
      <w:lvlText w:val="%6."/>
      <w:lvlJc w:val="right"/>
      <w:pPr>
        <w:ind w:left="3819" w:hanging="180"/>
      </w:pPr>
    </w:lvl>
    <w:lvl w:ilvl="6" w:tplc="0C0A000F" w:tentative="1">
      <w:start w:val="1"/>
      <w:numFmt w:val="decimal"/>
      <w:lvlText w:val="%7."/>
      <w:lvlJc w:val="left"/>
      <w:pPr>
        <w:ind w:left="4539" w:hanging="360"/>
      </w:pPr>
    </w:lvl>
    <w:lvl w:ilvl="7" w:tplc="0C0A0019" w:tentative="1">
      <w:start w:val="1"/>
      <w:numFmt w:val="lowerLetter"/>
      <w:lvlText w:val="%8."/>
      <w:lvlJc w:val="left"/>
      <w:pPr>
        <w:ind w:left="5259" w:hanging="360"/>
      </w:pPr>
    </w:lvl>
    <w:lvl w:ilvl="8" w:tplc="0C0A001B" w:tentative="1">
      <w:start w:val="1"/>
      <w:numFmt w:val="lowerRoman"/>
      <w:lvlText w:val="%9."/>
      <w:lvlJc w:val="right"/>
      <w:pPr>
        <w:ind w:left="5979" w:hanging="180"/>
      </w:pPr>
    </w:lvl>
  </w:abstractNum>
  <w:abstractNum w:abstractNumId="7" w15:restartNumberingAfterBreak="0">
    <w:nsid w:val="1D904C93"/>
    <w:multiLevelType w:val="hybridMultilevel"/>
    <w:tmpl w:val="D6947BB0"/>
    <w:lvl w:ilvl="0" w:tplc="0C0A0005">
      <w:start w:val="1"/>
      <w:numFmt w:val="bullet"/>
      <w:lvlText w:val=""/>
      <w:lvlJc w:val="left"/>
      <w:pPr>
        <w:ind w:left="1246" w:hanging="360"/>
      </w:pPr>
      <w:rPr>
        <w:rFonts w:ascii="Wingdings" w:hAnsi="Wingdings" w:hint="default"/>
      </w:rPr>
    </w:lvl>
    <w:lvl w:ilvl="1" w:tplc="040A0003" w:tentative="1">
      <w:start w:val="1"/>
      <w:numFmt w:val="bullet"/>
      <w:lvlText w:val="o"/>
      <w:lvlJc w:val="left"/>
      <w:pPr>
        <w:ind w:left="1966" w:hanging="360"/>
      </w:pPr>
      <w:rPr>
        <w:rFonts w:ascii="Courier New" w:hAnsi="Courier New" w:cs="Courier New" w:hint="default"/>
      </w:rPr>
    </w:lvl>
    <w:lvl w:ilvl="2" w:tplc="040A0005" w:tentative="1">
      <w:start w:val="1"/>
      <w:numFmt w:val="bullet"/>
      <w:lvlText w:val=""/>
      <w:lvlJc w:val="left"/>
      <w:pPr>
        <w:ind w:left="2686" w:hanging="360"/>
      </w:pPr>
      <w:rPr>
        <w:rFonts w:ascii="Wingdings" w:hAnsi="Wingdings" w:hint="default"/>
      </w:rPr>
    </w:lvl>
    <w:lvl w:ilvl="3" w:tplc="040A0001" w:tentative="1">
      <w:start w:val="1"/>
      <w:numFmt w:val="bullet"/>
      <w:lvlText w:val=""/>
      <w:lvlJc w:val="left"/>
      <w:pPr>
        <w:ind w:left="3406" w:hanging="360"/>
      </w:pPr>
      <w:rPr>
        <w:rFonts w:ascii="Symbol" w:hAnsi="Symbol" w:hint="default"/>
      </w:rPr>
    </w:lvl>
    <w:lvl w:ilvl="4" w:tplc="040A0003" w:tentative="1">
      <w:start w:val="1"/>
      <w:numFmt w:val="bullet"/>
      <w:lvlText w:val="o"/>
      <w:lvlJc w:val="left"/>
      <w:pPr>
        <w:ind w:left="4126" w:hanging="360"/>
      </w:pPr>
      <w:rPr>
        <w:rFonts w:ascii="Courier New" w:hAnsi="Courier New" w:cs="Courier New" w:hint="default"/>
      </w:rPr>
    </w:lvl>
    <w:lvl w:ilvl="5" w:tplc="040A0005" w:tentative="1">
      <w:start w:val="1"/>
      <w:numFmt w:val="bullet"/>
      <w:lvlText w:val=""/>
      <w:lvlJc w:val="left"/>
      <w:pPr>
        <w:ind w:left="4846" w:hanging="360"/>
      </w:pPr>
      <w:rPr>
        <w:rFonts w:ascii="Wingdings" w:hAnsi="Wingdings" w:hint="default"/>
      </w:rPr>
    </w:lvl>
    <w:lvl w:ilvl="6" w:tplc="040A0001" w:tentative="1">
      <w:start w:val="1"/>
      <w:numFmt w:val="bullet"/>
      <w:lvlText w:val=""/>
      <w:lvlJc w:val="left"/>
      <w:pPr>
        <w:ind w:left="5566" w:hanging="360"/>
      </w:pPr>
      <w:rPr>
        <w:rFonts w:ascii="Symbol" w:hAnsi="Symbol" w:hint="default"/>
      </w:rPr>
    </w:lvl>
    <w:lvl w:ilvl="7" w:tplc="040A0003" w:tentative="1">
      <w:start w:val="1"/>
      <w:numFmt w:val="bullet"/>
      <w:lvlText w:val="o"/>
      <w:lvlJc w:val="left"/>
      <w:pPr>
        <w:ind w:left="6286" w:hanging="360"/>
      </w:pPr>
      <w:rPr>
        <w:rFonts w:ascii="Courier New" w:hAnsi="Courier New" w:cs="Courier New" w:hint="default"/>
      </w:rPr>
    </w:lvl>
    <w:lvl w:ilvl="8" w:tplc="040A0005" w:tentative="1">
      <w:start w:val="1"/>
      <w:numFmt w:val="bullet"/>
      <w:lvlText w:val=""/>
      <w:lvlJc w:val="left"/>
      <w:pPr>
        <w:ind w:left="7006" w:hanging="360"/>
      </w:pPr>
      <w:rPr>
        <w:rFonts w:ascii="Wingdings" w:hAnsi="Wingdings" w:hint="default"/>
      </w:rPr>
    </w:lvl>
  </w:abstractNum>
  <w:abstractNum w:abstractNumId="8" w15:restartNumberingAfterBreak="0">
    <w:nsid w:val="1E1D6E0F"/>
    <w:multiLevelType w:val="hybridMultilevel"/>
    <w:tmpl w:val="0B340E60"/>
    <w:lvl w:ilvl="0" w:tplc="0C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1EF14779"/>
    <w:multiLevelType w:val="hybridMultilevel"/>
    <w:tmpl w:val="462ED02E"/>
    <w:lvl w:ilvl="0" w:tplc="040A0001">
      <w:start w:val="1"/>
      <w:numFmt w:val="bullet"/>
      <w:lvlText w:val=""/>
      <w:lvlJc w:val="left"/>
      <w:pPr>
        <w:ind w:left="1854" w:hanging="360"/>
      </w:pPr>
      <w:rPr>
        <w:rFonts w:ascii="Symbol" w:hAnsi="Symbol" w:hint="default"/>
      </w:rPr>
    </w:lvl>
    <w:lvl w:ilvl="1" w:tplc="040A0003" w:tentative="1">
      <w:start w:val="1"/>
      <w:numFmt w:val="bullet"/>
      <w:lvlText w:val="o"/>
      <w:lvlJc w:val="left"/>
      <w:pPr>
        <w:ind w:left="2574" w:hanging="360"/>
      </w:pPr>
      <w:rPr>
        <w:rFonts w:ascii="Courier New" w:hAnsi="Courier New" w:cs="Courier New" w:hint="default"/>
      </w:rPr>
    </w:lvl>
    <w:lvl w:ilvl="2" w:tplc="040A0005" w:tentative="1">
      <w:start w:val="1"/>
      <w:numFmt w:val="bullet"/>
      <w:lvlText w:val=""/>
      <w:lvlJc w:val="left"/>
      <w:pPr>
        <w:ind w:left="3294" w:hanging="360"/>
      </w:pPr>
      <w:rPr>
        <w:rFonts w:ascii="Wingdings" w:hAnsi="Wingdings" w:hint="default"/>
      </w:rPr>
    </w:lvl>
    <w:lvl w:ilvl="3" w:tplc="040A0001" w:tentative="1">
      <w:start w:val="1"/>
      <w:numFmt w:val="bullet"/>
      <w:lvlText w:val=""/>
      <w:lvlJc w:val="left"/>
      <w:pPr>
        <w:ind w:left="4014" w:hanging="360"/>
      </w:pPr>
      <w:rPr>
        <w:rFonts w:ascii="Symbol" w:hAnsi="Symbol" w:hint="default"/>
      </w:rPr>
    </w:lvl>
    <w:lvl w:ilvl="4" w:tplc="040A0003" w:tentative="1">
      <w:start w:val="1"/>
      <w:numFmt w:val="bullet"/>
      <w:lvlText w:val="o"/>
      <w:lvlJc w:val="left"/>
      <w:pPr>
        <w:ind w:left="4734" w:hanging="360"/>
      </w:pPr>
      <w:rPr>
        <w:rFonts w:ascii="Courier New" w:hAnsi="Courier New" w:cs="Courier New" w:hint="default"/>
      </w:rPr>
    </w:lvl>
    <w:lvl w:ilvl="5" w:tplc="040A0005" w:tentative="1">
      <w:start w:val="1"/>
      <w:numFmt w:val="bullet"/>
      <w:lvlText w:val=""/>
      <w:lvlJc w:val="left"/>
      <w:pPr>
        <w:ind w:left="5454" w:hanging="360"/>
      </w:pPr>
      <w:rPr>
        <w:rFonts w:ascii="Wingdings" w:hAnsi="Wingdings" w:hint="default"/>
      </w:rPr>
    </w:lvl>
    <w:lvl w:ilvl="6" w:tplc="040A0001" w:tentative="1">
      <w:start w:val="1"/>
      <w:numFmt w:val="bullet"/>
      <w:lvlText w:val=""/>
      <w:lvlJc w:val="left"/>
      <w:pPr>
        <w:ind w:left="6174" w:hanging="360"/>
      </w:pPr>
      <w:rPr>
        <w:rFonts w:ascii="Symbol" w:hAnsi="Symbol" w:hint="default"/>
      </w:rPr>
    </w:lvl>
    <w:lvl w:ilvl="7" w:tplc="040A0003" w:tentative="1">
      <w:start w:val="1"/>
      <w:numFmt w:val="bullet"/>
      <w:lvlText w:val="o"/>
      <w:lvlJc w:val="left"/>
      <w:pPr>
        <w:ind w:left="6894" w:hanging="360"/>
      </w:pPr>
      <w:rPr>
        <w:rFonts w:ascii="Courier New" w:hAnsi="Courier New" w:cs="Courier New" w:hint="default"/>
      </w:rPr>
    </w:lvl>
    <w:lvl w:ilvl="8" w:tplc="040A0005" w:tentative="1">
      <w:start w:val="1"/>
      <w:numFmt w:val="bullet"/>
      <w:lvlText w:val=""/>
      <w:lvlJc w:val="left"/>
      <w:pPr>
        <w:ind w:left="7614" w:hanging="360"/>
      </w:pPr>
      <w:rPr>
        <w:rFonts w:ascii="Wingdings" w:hAnsi="Wingdings" w:hint="default"/>
      </w:rPr>
    </w:lvl>
  </w:abstractNum>
  <w:abstractNum w:abstractNumId="10" w15:restartNumberingAfterBreak="0">
    <w:nsid w:val="1F1F0DB0"/>
    <w:multiLevelType w:val="hybridMultilevel"/>
    <w:tmpl w:val="AB80C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895520"/>
    <w:multiLevelType w:val="multilevel"/>
    <w:tmpl w:val="F440F620"/>
    <w:lvl w:ilvl="0">
      <w:numFmt w:val="decimal"/>
      <w:lvlText w:val="%1."/>
      <w:lvlJc w:val="left"/>
      <w:pPr>
        <w:ind w:left="360" w:hanging="360"/>
      </w:pPr>
      <w:rPr>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5154A0A"/>
    <w:multiLevelType w:val="hybridMultilevel"/>
    <w:tmpl w:val="26B41372"/>
    <w:lvl w:ilvl="0" w:tplc="040A0001">
      <w:start w:val="1"/>
      <w:numFmt w:val="bullet"/>
      <w:lvlText w:val=""/>
      <w:lvlJc w:val="left"/>
      <w:pPr>
        <w:ind w:left="1174" w:hanging="360"/>
      </w:pPr>
      <w:rPr>
        <w:rFonts w:ascii="Symbol" w:hAnsi="Symbol" w:hint="default"/>
      </w:rPr>
    </w:lvl>
    <w:lvl w:ilvl="1" w:tplc="040A0003" w:tentative="1">
      <w:start w:val="1"/>
      <w:numFmt w:val="bullet"/>
      <w:lvlText w:val="o"/>
      <w:lvlJc w:val="left"/>
      <w:pPr>
        <w:ind w:left="1894" w:hanging="360"/>
      </w:pPr>
      <w:rPr>
        <w:rFonts w:ascii="Courier New" w:hAnsi="Courier New" w:cs="Courier New" w:hint="default"/>
      </w:rPr>
    </w:lvl>
    <w:lvl w:ilvl="2" w:tplc="040A0005" w:tentative="1">
      <w:start w:val="1"/>
      <w:numFmt w:val="bullet"/>
      <w:lvlText w:val=""/>
      <w:lvlJc w:val="left"/>
      <w:pPr>
        <w:ind w:left="2614" w:hanging="360"/>
      </w:pPr>
      <w:rPr>
        <w:rFonts w:ascii="Wingdings" w:hAnsi="Wingdings" w:hint="default"/>
      </w:rPr>
    </w:lvl>
    <w:lvl w:ilvl="3" w:tplc="040A0001" w:tentative="1">
      <w:start w:val="1"/>
      <w:numFmt w:val="bullet"/>
      <w:lvlText w:val=""/>
      <w:lvlJc w:val="left"/>
      <w:pPr>
        <w:ind w:left="3334" w:hanging="360"/>
      </w:pPr>
      <w:rPr>
        <w:rFonts w:ascii="Symbol" w:hAnsi="Symbol" w:hint="default"/>
      </w:rPr>
    </w:lvl>
    <w:lvl w:ilvl="4" w:tplc="040A0003" w:tentative="1">
      <w:start w:val="1"/>
      <w:numFmt w:val="bullet"/>
      <w:lvlText w:val="o"/>
      <w:lvlJc w:val="left"/>
      <w:pPr>
        <w:ind w:left="4054" w:hanging="360"/>
      </w:pPr>
      <w:rPr>
        <w:rFonts w:ascii="Courier New" w:hAnsi="Courier New" w:cs="Courier New" w:hint="default"/>
      </w:rPr>
    </w:lvl>
    <w:lvl w:ilvl="5" w:tplc="040A0005" w:tentative="1">
      <w:start w:val="1"/>
      <w:numFmt w:val="bullet"/>
      <w:lvlText w:val=""/>
      <w:lvlJc w:val="left"/>
      <w:pPr>
        <w:ind w:left="4774" w:hanging="360"/>
      </w:pPr>
      <w:rPr>
        <w:rFonts w:ascii="Wingdings" w:hAnsi="Wingdings" w:hint="default"/>
      </w:rPr>
    </w:lvl>
    <w:lvl w:ilvl="6" w:tplc="040A0001" w:tentative="1">
      <w:start w:val="1"/>
      <w:numFmt w:val="bullet"/>
      <w:lvlText w:val=""/>
      <w:lvlJc w:val="left"/>
      <w:pPr>
        <w:ind w:left="5494" w:hanging="360"/>
      </w:pPr>
      <w:rPr>
        <w:rFonts w:ascii="Symbol" w:hAnsi="Symbol" w:hint="default"/>
      </w:rPr>
    </w:lvl>
    <w:lvl w:ilvl="7" w:tplc="040A0003" w:tentative="1">
      <w:start w:val="1"/>
      <w:numFmt w:val="bullet"/>
      <w:lvlText w:val="o"/>
      <w:lvlJc w:val="left"/>
      <w:pPr>
        <w:ind w:left="6214" w:hanging="360"/>
      </w:pPr>
      <w:rPr>
        <w:rFonts w:ascii="Courier New" w:hAnsi="Courier New" w:cs="Courier New" w:hint="default"/>
      </w:rPr>
    </w:lvl>
    <w:lvl w:ilvl="8" w:tplc="040A0005" w:tentative="1">
      <w:start w:val="1"/>
      <w:numFmt w:val="bullet"/>
      <w:lvlText w:val=""/>
      <w:lvlJc w:val="left"/>
      <w:pPr>
        <w:ind w:left="6934" w:hanging="360"/>
      </w:pPr>
      <w:rPr>
        <w:rFonts w:ascii="Wingdings" w:hAnsi="Wingdings" w:hint="default"/>
      </w:rPr>
    </w:lvl>
  </w:abstractNum>
  <w:abstractNum w:abstractNumId="13" w15:restartNumberingAfterBreak="0">
    <w:nsid w:val="2F2D0923"/>
    <w:multiLevelType w:val="hybridMultilevel"/>
    <w:tmpl w:val="8506E19A"/>
    <w:lvl w:ilvl="0" w:tplc="D41E3DF6">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A538CE"/>
    <w:multiLevelType w:val="hybridMultilevel"/>
    <w:tmpl w:val="0B64621E"/>
    <w:lvl w:ilvl="0" w:tplc="040A0001">
      <w:start w:val="1"/>
      <w:numFmt w:val="bullet"/>
      <w:lvlText w:val=""/>
      <w:lvlJc w:val="left"/>
      <w:pPr>
        <w:ind w:left="1174" w:hanging="360"/>
      </w:pPr>
      <w:rPr>
        <w:rFonts w:ascii="Symbol" w:hAnsi="Symbol" w:hint="default"/>
      </w:rPr>
    </w:lvl>
    <w:lvl w:ilvl="1" w:tplc="040A0003">
      <w:start w:val="1"/>
      <w:numFmt w:val="bullet"/>
      <w:lvlText w:val="o"/>
      <w:lvlJc w:val="left"/>
      <w:pPr>
        <w:ind w:left="1894" w:hanging="360"/>
      </w:pPr>
      <w:rPr>
        <w:rFonts w:ascii="Courier New" w:hAnsi="Courier New" w:cs="Courier New" w:hint="default"/>
      </w:rPr>
    </w:lvl>
    <w:lvl w:ilvl="2" w:tplc="040A0005">
      <w:start w:val="1"/>
      <w:numFmt w:val="bullet"/>
      <w:lvlText w:val=""/>
      <w:lvlJc w:val="left"/>
      <w:pPr>
        <w:ind w:left="2614" w:hanging="360"/>
      </w:pPr>
      <w:rPr>
        <w:rFonts w:ascii="Wingdings" w:hAnsi="Wingdings" w:hint="default"/>
      </w:rPr>
    </w:lvl>
    <w:lvl w:ilvl="3" w:tplc="040A0001">
      <w:start w:val="1"/>
      <w:numFmt w:val="bullet"/>
      <w:lvlText w:val=""/>
      <w:lvlJc w:val="left"/>
      <w:pPr>
        <w:ind w:left="3334" w:hanging="360"/>
      </w:pPr>
      <w:rPr>
        <w:rFonts w:ascii="Symbol" w:hAnsi="Symbol" w:hint="default"/>
      </w:rPr>
    </w:lvl>
    <w:lvl w:ilvl="4" w:tplc="040A0003">
      <w:start w:val="1"/>
      <w:numFmt w:val="bullet"/>
      <w:lvlText w:val="o"/>
      <w:lvlJc w:val="left"/>
      <w:pPr>
        <w:ind w:left="4054" w:hanging="360"/>
      </w:pPr>
      <w:rPr>
        <w:rFonts w:ascii="Courier New" w:hAnsi="Courier New" w:cs="Courier New" w:hint="default"/>
      </w:rPr>
    </w:lvl>
    <w:lvl w:ilvl="5" w:tplc="040A0005">
      <w:start w:val="1"/>
      <w:numFmt w:val="bullet"/>
      <w:lvlText w:val=""/>
      <w:lvlJc w:val="left"/>
      <w:pPr>
        <w:ind w:left="4774" w:hanging="360"/>
      </w:pPr>
      <w:rPr>
        <w:rFonts w:ascii="Wingdings" w:hAnsi="Wingdings" w:hint="default"/>
      </w:rPr>
    </w:lvl>
    <w:lvl w:ilvl="6" w:tplc="040A0001">
      <w:start w:val="1"/>
      <w:numFmt w:val="bullet"/>
      <w:lvlText w:val=""/>
      <w:lvlJc w:val="left"/>
      <w:pPr>
        <w:ind w:left="5494" w:hanging="360"/>
      </w:pPr>
      <w:rPr>
        <w:rFonts w:ascii="Symbol" w:hAnsi="Symbol" w:hint="default"/>
      </w:rPr>
    </w:lvl>
    <w:lvl w:ilvl="7" w:tplc="040A0003">
      <w:start w:val="1"/>
      <w:numFmt w:val="bullet"/>
      <w:lvlText w:val="o"/>
      <w:lvlJc w:val="left"/>
      <w:pPr>
        <w:ind w:left="6214" w:hanging="360"/>
      </w:pPr>
      <w:rPr>
        <w:rFonts w:ascii="Courier New" w:hAnsi="Courier New" w:cs="Courier New" w:hint="default"/>
      </w:rPr>
    </w:lvl>
    <w:lvl w:ilvl="8" w:tplc="040A0005">
      <w:start w:val="1"/>
      <w:numFmt w:val="bullet"/>
      <w:lvlText w:val=""/>
      <w:lvlJc w:val="left"/>
      <w:pPr>
        <w:ind w:left="6934" w:hanging="360"/>
      </w:pPr>
      <w:rPr>
        <w:rFonts w:ascii="Wingdings" w:hAnsi="Wingdings" w:hint="default"/>
      </w:rPr>
    </w:lvl>
  </w:abstractNum>
  <w:abstractNum w:abstractNumId="15" w15:restartNumberingAfterBreak="0">
    <w:nsid w:val="5057692E"/>
    <w:multiLevelType w:val="hybridMultilevel"/>
    <w:tmpl w:val="9D380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9D28D2"/>
    <w:multiLevelType w:val="hybridMultilevel"/>
    <w:tmpl w:val="78CA7DCC"/>
    <w:lvl w:ilvl="0" w:tplc="D41E3DF6">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151B12"/>
    <w:multiLevelType w:val="hybridMultilevel"/>
    <w:tmpl w:val="67EC5612"/>
    <w:lvl w:ilvl="0" w:tplc="0C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C0A0005">
      <w:start w:val="1"/>
      <w:numFmt w:val="bullet"/>
      <w:lvlText w:val=""/>
      <w:lvlJc w:val="left"/>
      <w:pPr>
        <w:ind w:left="2880" w:hanging="360"/>
      </w:pPr>
      <w:rPr>
        <w:rFonts w:ascii="Wingdings" w:hAnsi="Wingdings"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5E6C1D38"/>
    <w:multiLevelType w:val="hybridMultilevel"/>
    <w:tmpl w:val="051A2ECA"/>
    <w:lvl w:ilvl="0" w:tplc="D41E3DF6">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2001DC"/>
    <w:multiLevelType w:val="hybridMultilevel"/>
    <w:tmpl w:val="0F800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F6055F"/>
    <w:multiLevelType w:val="hybridMultilevel"/>
    <w:tmpl w:val="04DA8052"/>
    <w:lvl w:ilvl="0" w:tplc="040A0001">
      <w:start w:val="1"/>
      <w:numFmt w:val="bullet"/>
      <w:lvlText w:val=""/>
      <w:lvlJc w:val="left"/>
      <w:pPr>
        <w:ind w:left="1174" w:hanging="360"/>
      </w:pPr>
      <w:rPr>
        <w:rFonts w:ascii="Symbol" w:hAnsi="Symbol" w:hint="default"/>
      </w:rPr>
    </w:lvl>
    <w:lvl w:ilvl="1" w:tplc="0C0A0005">
      <w:start w:val="1"/>
      <w:numFmt w:val="bullet"/>
      <w:lvlText w:val=""/>
      <w:lvlJc w:val="left"/>
      <w:pPr>
        <w:ind w:left="1894" w:hanging="360"/>
      </w:pPr>
      <w:rPr>
        <w:rFonts w:ascii="Wingdings" w:hAnsi="Wingdings" w:hint="default"/>
      </w:rPr>
    </w:lvl>
    <w:lvl w:ilvl="2" w:tplc="6D20EF0E">
      <w:numFmt w:val="bullet"/>
      <w:lvlText w:val="-"/>
      <w:lvlJc w:val="left"/>
      <w:pPr>
        <w:ind w:left="2614" w:hanging="360"/>
      </w:pPr>
      <w:rPr>
        <w:rFonts w:ascii="Verdana" w:eastAsia="Times New Roman" w:hAnsi="Verdana" w:cs="Times New Roman" w:hint="default"/>
      </w:rPr>
    </w:lvl>
    <w:lvl w:ilvl="3" w:tplc="040A0001" w:tentative="1">
      <w:start w:val="1"/>
      <w:numFmt w:val="bullet"/>
      <w:lvlText w:val=""/>
      <w:lvlJc w:val="left"/>
      <w:pPr>
        <w:ind w:left="3334" w:hanging="360"/>
      </w:pPr>
      <w:rPr>
        <w:rFonts w:ascii="Symbol" w:hAnsi="Symbol" w:hint="default"/>
      </w:rPr>
    </w:lvl>
    <w:lvl w:ilvl="4" w:tplc="040A0003" w:tentative="1">
      <w:start w:val="1"/>
      <w:numFmt w:val="bullet"/>
      <w:lvlText w:val="o"/>
      <w:lvlJc w:val="left"/>
      <w:pPr>
        <w:ind w:left="4054" w:hanging="360"/>
      </w:pPr>
      <w:rPr>
        <w:rFonts w:ascii="Courier New" w:hAnsi="Courier New" w:cs="Courier New" w:hint="default"/>
      </w:rPr>
    </w:lvl>
    <w:lvl w:ilvl="5" w:tplc="040A0005" w:tentative="1">
      <w:start w:val="1"/>
      <w:numFmt w:val="bullet"/>
      <w:lvlText w:val=""/>
      <w:lvlJc w:val="left"/>
      <w:pPr>
        <w:ind w:left="4774" w:hanging="360"/>
      </w:pPr>
      <w:rPr>
        <w:rFonts w:ascii="Wingdings" w:hAnsi="Wingdings" w:hint="default"/>
      </w:rPr>
    </w:lvl>
    <w:lvl w:ilvl="6" w:tplc="040A0001" w:tentative="1">
      <w:start w:val="1"/>
      <w:numFmt w:val="bullet"/>
      <w:lvlText w:val=""/>
      <w:lvlJc w:val="left"/>
      <w:pPr>
        <w:ind w:left="5494" w:hanging="360"/>
      </w:pPr>
      <w:rPr>
        <w:rFonts w:ascii="Symbol" w:hAnsi="Symbol" w:hint="default"/>
      </w:rPr>
    </w:lvl>
    <w:lvl w:ilvl="7" w:tplc="040A0003" w:tentative="1">
      <w:start w:val="1"/>
      <w:numFmt w:val="bullet"/>
      <w:lvlText w:val="o"/>
      <w:lvlJc w:val="left"/>
      <w:pPr>
        <w:ind w:left="6214" w:hanging="360"/>
      </w:pPr>
      <w:rPr>
        <w:rFonts w:ascii="Courier New" w:hAnsi="Courier New" w:cs="Courier New" w:hint="default"/>
      </w:rPr>
    </w:lvl>
    <w:lvl w:ilvl="8" w:tplc="040A0005" w:tentative="1">
      <w:start w:val="1"/>
      <w:numFmt w:val="bullet"/>
      <w:lvlText w:val=""/>
      <w:lvlJc w:val="left"/>
      <w:pPr>
        <w:ind w:left="6934" w:hanging="360"/>
      </w:pPr>
      <w:rPr>
        <w:rFonts w:ascii="Wingdings" w:hAnsi="Wingdings" w:hint="default"/>
      </w:rPr>
    </w:lvl>
  </w:abstractNum>
  <w:abstractNum w:abstractNumId="21" w15:restartNumberingAfterBreak="0">
    <w:nsid w:val="6CED1B27"/>
    <w:multiLevelType w:val="hybridMultilevel"/>
    <w:tmpl w:val="BE80D3FA"/>
    <w:lvl w:ilvl="0" w:tplc="040A0001">
      <w:start w:val="1"/>
      <w:numFmt w:val="bullet"/>
      <w:lvlText w:val=""/>
      <w:lvlJc w:val="left"/>
      <w:pPr>
        <w:ind w:left="1854" w:hanging="360"/>
      </w:pPr>
      <w:rPr>
        <w:rFonts w:ascii="Symbol" w:hAnsi="Symbol" w:hint="default"/>
      </w:rPr>
    </w:lvl>
    <w:lvl w:ilvl="1" w:tplc="040A0003" w:tentative="1">
      <w:start w:val="1"/>
      <w:numFmt w:val="bullet"/>
      <w:lvlText w:val="o"/>
      <w:lvlJc w:val="left"/>
      <w:pPr>
        <w:ind w:left="2574" w:hanging="360"/>
      </w:pPr>
      <w:rPr>
        <w:rFonts w:ascii="Courier New" w:hAnsi="Courier New" w:cs="Courier New" w:hint="default"/>
      </w:rPr>
    </w:lvl>
    <w:lvl w:ilvl="2" w:tplc="040A0005" w:tentative="1">
      <w:start w:val="1"/>
      <w:numFmt w:val="bullet"/>
      <w:lvlText w:val=""/>
      <w:lvlJc w:val="left"/>
      <w:pPr>
        <w:ind w:left="3294" w:hanging="360"/>
      </w:pPr>
      <w:rPr>
        <w:rFonts w:ascii="Wingdings" w:hAnsi="Wingdings" w:hint="default"/>
      </w:rPr>
    </w:lvl>
    <w:lvl w:ilvl="3" w:tplc="040A0001" w:tentative="1">
      <w:start w:val="1"/>
      <w:numFmt w:val="bullet"/>
      <w:lvlText w:val=""/>
      <w:lvlJc w:val="left"/>
      <w:pPr>
        <w:ind w:left="4014" w:hanging="360"/>
      </w:pPr>
      <w:rPr>
        <w:rFonts w:ascii="Symbol" w:hAnsi="Symbol" w:hint="default"/>
      </w:rPr>
    </w:lvl>
    <w:lvl w:ilvl="4" w:tplc="040A0003" w:tentative="1">
      <w:start w:val="1"/>
      <w:numFmt w:val="bullet"/>
      <w:lvlText w:val="o"/>
      <w:lvlJc w:val="left"/>
      <w:pPr>
        <w:ind w:left="4734" w:hanging="360"/>
      </w:pPr>
      <w:rPr>
        <w:rFonts w:ascii="Courier New" w:hAnsi="Courier New" w:cs="Courier New" w:hint="default"/>
      </w:rPr>
    </w:lvl>
    <w:lvl w:ilvl="5" w:tplc="040A0005" w:tentative="1">
      <w:start w:val="1"/>
      <w:numFmt w:val="bullet"/>
      <w:lvlText w:val=""/>
      <w:lvlJc w:val="left"/>
      <w:pPr>
        <w:ind w:left="5454" w:hanging="360"/>
      </w:pPr>
      <w:rPr>
        <w:rFonts w:ascii="Wingdings" w:hAnsi="Wingdings" w:hint="default"/>
      </w:rPr>
    </w:lvl>
    <w:lvl w:ilvl="6" w:tplc="040A0001" w:tentative="1">
      <w:start w:val="1"/>
      <w:numFmt w:val="bullet"/>
      <w:lvlText w:val=""/>
      <w:lvlJc w:val="left"/>
      <w:pPr>
        <w:ind w:left="6174" w:hanging="360"/>
      </w:pPr>
      <w:rPr>
        <w:rFonts w:ascii="Symbol" w:hAnsi="Symbol" w:hint="default"/>
      </w:rPr>
    </w:lvl>
    <w:lvl w:ilvl="7" w:tplc="040A0003" w:tentative="1">
      <w:start w:val="1"/>
      <w:numFmt w:val="bullet"/>
      <w:lvlText w:val="o"/>
      <w:lvlJc w:val="left"/>
      <w:pPr>
        <w:ind w:left="6894" w:hanging="360"/>
      </w:pPr>
      <w:rPr>
        <w:rFonts w:ascii="Courier New" w:hAnsi="Courier New" w:cs="Courier New" w:hint="default"/>
      </w:rPr>
    </w:lvl>
    <w:lvl w:ilvl="8" w:tplc="040A0005" w:tentative="1">
      <w:start w:val="1"/>
      <w:numFmt w:val="bullet"/>
      <w:lvlText w:val=""/>
      <w:lvlJc w:val="left"/>
      <w:pPr>
        <w:ind w:left="7614" w:hanging="360"/>
      </w:pPr>
      <w:rPr>
        <w:rFonts w:ascii="Wingdings" w:hAnsi="Wingdings" w:hint="default"/>
      </w:rPr>
    </w:lvl>
  </w:abstractNum>
  <w:abstractNum w:abstractNumId="22" w15:restartNumberingAfterBreak="0">
    <w:nsid w:val="7DE20BDF"/>
    <w:multiLevelType w:val="hybridMultilevel"/>
    <w:tmpl w:val="1616D0EA"/>
    <w:lvl w:ilvl="0" w:tplc="040A0001">
      <w:start w:val="1"/>
      <w:numFmt w:val="bullet"/>
      <w:lvlText w:val=""/>
      <w:lvlJc w:val="left"/>
      <w:pPr>
        <w:ind w:left="1174" w:hanging="360"/>
      </w:pPr>
      <w:rPr>
        <w:rFonts w:ascii="Symbol" w:hAnsi="Symbol" w:hint="default"/>
      </w:rPr>
    </w:lvl>
    <w:lvl w:ilvl="1" w:tplc="040A0003">
      <w:start w:val="1"/>
      <w:numFmt w:val="bullet"/>
      <w:lvlText w:val="o"/>
      <w:lvlJc w:val="left"/>
      <w:pPr>
        <w:ind w:left="1894" w:hanging="360"/>
      </w:pPr>
      <w:rPr>
        <w:rFonts w:ascii="Courier New" w:hAnsi="Courier New" w:cs="Courier New" w:hint="default"/>
      </w:rPr>
    </w:lvl>
    <w:lvl w:ilvl="2" w:tplc="040A0005">
      <w:start w:val="1"/>
      <w:numFmt w:val="bullet"/>
      <w:lvlText w:val=""/>
      <w:lvlJc w:val="left"/>
      <w:pPr>
        <w:ind w:left="2614" w:hanging="360"/>
      </w:pPr>
      <w:rPr>
        <w:rFonts w:ascii="Wingdings" w:hAnsi="Wingdings" w:hint="default"/>
      </w:rPr>
    </w:lvl>
    <w:lvl w:ilvl="3" w:tplc="040A0001" w:tentative="1">
      <w:start w:val="1"/>
      <w:numFmt w:val="bullet"/>
      <w:lvlText w:val=""/>
      <w:lvlJc w:val="left"/>
      <w:pPr>
        <w:ind w:left="3334" w:hanging="360"/>
      </w:pPr>
      <w:rPr>
        <w:rFonts w:ascii="Symbol" w:hAnsi="Symbol" w:hint="default"/>
      </w:rPr>
    </w:lvl>
    <w:lvl w:ilvl="4" w:tplc="040A0003" w:tentative="1">
      <w:start w:val="1"/>
      <w:numFmt w:val="bullet"/>
      <w:lvlText w:val="o"/>
      <w:lvlJc w:val="left"/>
      <w:pPr>
        <w:ind w:left="4054" w:hanging="360"/>
      </w:pPr>
      <w:rPr>
        <w:rFonts w:ascii="Courier New" w:hAnsi="Courier New" w:cs="Courier New" w:hint="default"/>
      </w:rPr>
    </w:lvl>
    <w:lvl w:ilvl="5" w:tplc="040A0005" w:tentative="1">
      <w:start w:val="1"/>
      <w:numFmt w:val="bullet"/>
      <w:lvlText w:val=""/>
      <w:lvlJc w:val="left"/>
      <w:pPr>
        <w:ind w:left="4774" w:hanging="360"/>
      </w:pPr>
      <w:rPr>
        <w:rFonts w:ascii="Wingdings" w:hAnsi="Wingdings" w:hint="default"/>
      </w:rPr>
    </w:lvl>
    <w:lvl w:ilvl="6" w:tplc="040A0001" w:tentative="1">
      <w:start w:val="1"/>
      <w:numFmt w:val="bullet"/>
      <w:lvlText w:val=""/>
      <w:lvlJc w:val="left"/>
      <w:pPr>
        <w:ind w:left="5494" w:hanging="360"/>
      </w:pPr>
      <w:rPr>
        <w:rFonts w:ascii="Symbol" w:hAnsi="Symbol" w:hint="default"/>
      </w:rPr>
    </w:lvl>
    <w:lvl w:ilvl="7" w:tplc="040A0003" w:tentative="1">
      <w:start w:val="1"/>
      <w:numFmt w:val="bullet"/>
      <w:lvlText w:val="o"/>
      <w:lvlJc w:val="left"/>
      <w:pPr>
        <w:ind w:left="6214" w:hanging="360"/>
      </w:pPr>
      <w:rPr>
        <w:rFonts w:ascii="Courier New" w:hAnsi="Courier New" w:cs="Courier New" w:hint="default"/>
      </w:rPr>
    </w:lvl>
    <w:lvl w:ilvl="8" w:tplc="040A0005" w:tentative="1">
      <w:start w:val="1"/>
      <w:numFmt w:val="bullet"/>
      <w:lvlText w:val=""/>
      <w:lvlJc w:val="left"/>
      <w:pPr>
        <w:ind w:left="6934" w:hanging="360"/>
      </w:pPr>
      <w:rPr>
        <w:rFonts w:ascii="Wingdings" w:hAnsi="Wingdings" w:hint="default"/>
      </w:rPr>
    </w:lvl>
  </w:abstractNum>
  <w:abstractNum w:abstractNumId="23" w15:restartNumberingAfterBreak="0">
    <w:nsid w:val="7F5C3585"/>
    <w:multiLevelType w:val="hybridMultilevel"/>
    <w:tmpl w:val="00AE4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12"/>
  </w:num>
  <w:num w:numId="4">
    <w:abstractNumId w:val="22"/>
  </w:num>
  <w:num w:numId="5">
    <w:abstractNumId w:val="7"/>
  </w:num>
  <w:num w:numId="6">
    <w:abstractNumId w:val="21"/>
  </w:num>
  <w:num w:numId="7">
    <w:abstractNumId w:val="20"/>
  </w:num>
  <w:num w:numId="8">
    <w:abstractNumId w:val="9"/>
  </w:num>
  <w:num w:numId="9">
    <w:abstractNumId w:val="1"/>
  </w:num>
  <w:num w:numId="10">
    <w:abstractNumId w:val="8"/>
  </w:num>
  <w:num w:numId="11">
    <w:abstractNumId w:val="17"/>
  </w:num>
  <w:num w:numId="12">
    <w:abstractNumId w:val="2"/>
  </w:num>
  <w:num w:numId="13">
    <w:abstractNumId w:val="0"/>
  </w:num>
  <w:num w:numId="14">
    <w:abstractNumId w:val="3"/>
  </w:num>
  <w:num w:numId="15">
    <w:abstractNumId w:val="5"/>
  </w:num>
  <w:num w:numId="16">
    <w:abstractNumId w:val="6"/>
  </w:num>
  <w:num w:numId="17">
    <w:abstractNumId w:val="4"/>
  </w:num>
  <w:num w:numId="18">
    <w:abstractNumId w:val="15"/>
  </w:num>
  <w:num w:numId="19">
    <w:abstractNumId w:val="19"/>
  </w:num>
  <w:num w:numId="20">
    <w:abstractNumId w:val="10"/>
  </w:num>
  <w:num w:numId="21">
    <w:abstractNumId w:val="23"/>
  </w:num>
  <w:num w:numId="22">
    <w:abstractNumId w:val="13"/>
  </w:num>
  <w:num w:numId="23">
    <w:abstractNumId w:val="16"/>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16BA"/>
    <w:rsid w:val="00001AF7"/>
    <w:rsid w:val="00002A00"/>
    <w:rsid w:val="00003F71"/>
    <w:rsid w:val="00006B89"/>
    <w:rsid w:val="00010153"/>
    <w:rsid w:val="00015528"/>
    <w:rsid w:val="00054CE5"/>
    <w:rsid w:val="00055CCC"/>
    <w:rsid w:val="00060B64"/>
    <w:rsid w:val="00062C21"/>
    <w:rsid w:val="00062DE0"/>
    <w:rsid w:val="000735FE"/>
    <w:rsid w:val="00080049"/>
    <w:rsid w:val="00080945"/>
    <w:rsid w:val="00082465"/>
    <w:rsid w:val="00084F0D"/>
    <w:rsid w:val="00090E38"/>
    <w:rsid w:val="000A602C"/>
    <w:rsid w:val="000B198C"/>
    <w:rsid w:val="000B4EC6"/>
    <w:rsid w:val="000B5803"/>
    <w:rsid w:val="000D0426"/>
    <w:rsid w:val="000D209C"/>
    <w:rsid w:val="000D4262"/>
    <w:rsid w:val="000D4A66"/>
    <w:rsid w:val="000D5ED4"/>
    <w:rsid w:val="000E0DEE"/>
    <w:rsid w:val="000E48A1"/>
    <w:rsid w:val="000E5A67"/>
    <w:rsid w:val="000F365B"/>
    <w:rsid w:val="000F5589"/>
    <w:rsid w:val="001110B7"/>
    <w:rsid w:val="001144A4"/>
    <w:rsid w:val="00115EB7"/>
    <w:rsid w:val="001261CF"/>
    <w:rsid w:val="00133A6E"/>
    <w:rsid w:val="00136DFB"/>
    <w:rsid w:val="00141CEB"/>
    <w:rsid w:val="00150337"/>
    <w:rsid w:val="00155309"/>
    <w:rsid w:val="00160C11"/>
    <w:rsid w:val="001613CD"/>
    <w:rsid w:val="001614C0"/>
    <w:rsid w:val="00170224"/>
    <w:rsid w:val="001A3636"/>
    <w:rsid w:val="001A4278"/>
    <w:rsid w:val="001A6A60"/>
    <w:rsid w:val="001B3301"/>
    <w:rsid w:val="001B434B"/>
    <w:rsid w:val="001B74CA"/>
    <w:rsid w:val="001D10BC"/>
    <w:rsid w:val="001E0DD6"/>
    <w:rsid w:val="001E7DA3"/>
    <w:rsid w:val="001F5642"/>
    <w:rsid w:val="00221671"/>
    <w:rsid w:val="00224418"/>
    <w:rsid w:val="00224678"/>
    <w:rsid w:val="00237C38"/>
    <w:rsid w:val="00240310"/>
    <w:rsid w:val="002441D8"/>
    <w:rsid w:val="00245653"/>
    <w:rsid w:val="00255A16"/>
    <w:rsid w:val="002665A7"/>
    <w:rsid w:val="00271E0C"/>
    <w:rsid w:val="002750CF"/>
    <w:rsid w:val="00285DF5"/>
    <w:rsid w:val="002904D9"/>
    <w:rsid w:val="00295037"/>
    <w:rsid w:val="002A2F17"/>
    <w:rsid w:val="002A43CA"/>
    <w:rsid w:val="002B0DD2"/>
    <w:rsid w:val="002B408D"/>
    <w:rsid w:val="002C088E"/>
    <w:rsid w:val="002D0321"/>
    <w:rsid w:val="002D2CA1"/>
    <w:rsid w:val="002D3408"/>
    <w:rsid w:val="002D411B"/>
    <w:rsid w:val="002D6C8D"/>
    <w:rsid w:val="002E48E9"/>
    <w:rsid w:val="002F55D8"/>
    <w:rsid w:val="0030672C"/>
    <w:rsid w:val="00307B3E"/>
    <w:rsid w:val="00314EA6"/>
    <w:rsid w:val="00322343"/>
    <w:rsid w:val="0032587E"/>
    <w:rsid w:val="00330264"/>
    <w:rsid w:val="003348DE"/>
    <w:rsid w:val="003473A7"/>
    <w:rsid w:val="00347E32"/>
    <w:rsid w:val="00350661"/>
    <w:rsid w:val="00356599"/>
    <w:rsid w:val="0036249B"/>
    <w:rsid w:val="0038242C"/>
    <w:rsid w:val="00383C64"/>
    <w:rsid w:val="003A2F3E"/>
    <w:rsid w:val="003A66D4"/>
    <w:rsid w:val="003C16BA"/>
    <w:rsid w:val="003C557A"/>
    <w:rsid w:val="003D753F"/>
    <w:rsid w:val="003F55C7"/>
    <w:rsid w:val="004004DA"/>
    <w:rsid w:val="0040248A"/>
    <w:rsid w:val="004137F4"/>
    <w:rsid w:val="00422D1F"/>
    <w:rsid w:val="0042603A"/>
    <w:rsid w:val="004309D5"/>
    <w:rsid w:val="00442AC5"/>
    <w:rsid w:val="0044541B"/>
    <w:rsid w:val="00446914"/>
    <w:rsid w:val="00450D13"/>
    <w:rsid w:val="00451D59"/>
    <w:rsid w:val="004549DF"/>
    <w:rsid w:val="004566E8"/>
    <w:rsid w:val="00470CEC"/>
    <w:rsid w:val="00483244"/>
    <w:rsid w:val="004835B7"/>
    <w:rsid w:val="00486B1D"/>
    <w:rsid w:val="00494D95"/>
    <w:rsid w:val="0049659A"/>
    <w:rsid w:val="00497768"/>
    <w:rsid w:val="004A3ED2"/>
    <w:rsid w:val="004B6D41"/>
    <w:rsid w:val="004C0AB2"/>
    <w:rsid w:val="004C7736"/>
    <w:rsid w:val="004E4801"/>
    <w:rsid w:val="004F52EA"/>
    <w:rsid w:val="004F72AB"/>
    <w:rsid w:val="00515CBC"/>
    <w:rsid w:val="0052196D"/>
    <w:rsid w:val="00541997"/>
    <w:rsid w:val="0054609B"/>
    <w:rsid w:val="00554683"/>
    <w:rsid w:val="005623D7"/>
    <w:rsid w:val="005645F7"/>
    <w:rsid w:val="00574044"/>
    <w:rsid w:val="00581642"/>
    <w:rsid w:val="00587BAB"/>
    <w:rsid w:val="005922C3"/>
    <w:rsid w:val="00592CBE"/>
    <w:rsid w:val="005932C4"/>
    <w:rsid w:val="0059688E"/>
    <w:rsid w:val="005B07B7"/>
    <w:rsid w:val="005B2FD8"/>
    <w:rsid w:val="005B6DD3"/>
    <w:rsid w:val="005C452D"/>
    <w:rsid w:val="005E1990"/>
    <w:rsid w:val="005F3213"/>
    <w:rsid w:val="00606783"/>
    <w:rsid w:val="006217F9"/>
    <w:rsid w:val="00624342"/>
    <w:rsid w:val="0062777E"/>
    <w:rsid w:val="006326DF"/>
    <w:rsid w:val="00632E3F"/>
    <w:rsid w:val="00633D87"/>
    <w:rsid w:val="00645275"/>
    <w:rsid w:val="006529A1"/>
    <w:rsid w:val="0066719A"/>
    <w:rsid w:val="0067676B"/>
    <w:rsid w:val="00677F97"/>
    <w:rsid w:val="0068038F"/>
    <w:rsid w:val="00685605"/>
    <w:rsid w:val="006929EC"/>
    <w:rsid w:val="006972E8"/>
    <w:rsid w:val="006A3B98"/>
    <w:rsid w:val="006A4FB8"/>
    <w:rsid w:val="006B0702"/>
    <w:rsid w:val="006B2A46"/>
    <w:rsid w:val="006C19B8"/>
    <w:rsid w:val="006D0B1F"/>
    <w:rsid w:val="006D12C9"/>
    <w:rsid w:val="006D607D"/>
    <w:rsid w:val="006F0D9C"/>
    <w:rsid w:val="007029E8"/>
    <w:rsid w:val="00706942"/>
    <w:rsid w:val="007148AF"/>
    <w:rsid w:val="00721A36"/>
    <w:rsid w:val="0072528A"/>
    <w:rsid w:val="0072661A"/>
    <w:rsid w:val="007465EB"/>
    <w:rsid w:val="00746E8D"/>
    <w:rsid w:val="00754787"/>
    <w:rsid w:val="007652D8"/>
    <w:rsid w:val="00765EAB"/>
    <w:rsid w:val="007678C3"/>
    <w:rsid w:val="007730FA"/>
    <w:rsid w:val="00775CF5"/>
    <w:rsid w:val="0077687E"/>
    <w:rsid w:val="0078697C"/>
    <w:rsid w:val="007B0434"/>
    <w:rsid w:val="007C019B"/>
    <w:rsid w:val="007C4F88"/>
    <w:rsid w:val="007D1764"/>
    <w:rsid w:val="007E7F09"/>
    <w:rsid w:val="007F1021"/>
    <w:rsid w:val="007F21AA"/>
    <w:rsid w:val="007F7C5D"/>
    <w:rsid w:val="00823712"/>
    <w:rsid w:val="00833422"/>
    <w:rsid w:val="00837A42"/>
    <w:rsid w:val="008506F3"/>
    <w:rsid w:val="00854746"/>
    <w:rsid w:val="00856B88"/>
    <w:rsid w:val="00873E23"/>
    <w:rsid w:val="0087426E"/>
    <w:rsid w:val="008750D3"/>
    <w:rsid w:val="00876408"/>
    <w:rsid w:val="00887037"/>
    <w:rsid w:val="00894DD2"/>
    <w:rsid w:val="008A4676"/>
    <w:rsid w:val="008B15B9"/>
    <w:rsid w:val="008C0DED"/>
    <w:rsid w:val="008C268C"/>
    <w:rsid w:val="008C7281"/>
    <w:rsid w:val="008D4B36"/>
    <w:rsid w:val="008D7596"/>
    <w:rsid w:val="008E0E01"/>
    <w:rsid w:val="008F3E27"/>
    <w:rsid w:val="00900491"/>
    <w:rsid w:val="009078E1"/>
    <w:rsid w:val="009115B5"/>
    <w:rsid w:val="0095241A"/>
    <w:rsid w:val="009625E1"/>
    <w:rsid w:val="0097085C"/>
    <w:rsid w:val="00970FBE"/>
    <w:rsid w:val="00971891"/>
    <w:rsid w:val="009918EF"/>
    <w:rsid w:val="00991E76"/>
    <w:rsid w:val="009A0813"/>
    <w:rsid w:val="009A2737"/>
    <w:rsid w:val="009B0EB2"/>
    <w:rsid w:val="009C2F61"/>
    <w:rsid w:val="009C3D9C"/>
    <w:rsid w:val="009D3F21"/>
    <w:rsid w:val="009F5925"/>
    <w:rsid w:val="00A11429"/>
    <w:rsid w:val="00A122D8"/>
    <w:rsid w:val="00A16A51"/>
    <w:rsid w:val="00A304C6"/>
    <w:rsid w:val="00A32C2B"/>
    <w:rsid w:val="00A33AD1"/>
    <w:rsid w:val="00A34F3B"/>
    <w:rsid w:val="00A3540B"/>
    <w:rsid w:val="00A55EB5"/>
    <w:rsid w:val="00A576D2"/>
    <w:rsid w:val="00A661AC"/>
    <w:rsid w:val="00A77697"/>
    <w:rsid w:val="00A90221"/>
    <w:rsid w:val="00A9184A"/>
    <w:rsid w:val="00A96809"/>
    <w:rsid w:val="00AA1269"/>
    <w:rsid w:val="00AA2FE9"/>
    <w:rsid w:val="00AA3E4E"/>
    <w:rsid w:val="00AB3CFC"/>
    <w:rsid w:val="00AC3C6B"/>
    <w:rsid w:val="00AD2CC6"/>
    <w:rsid w:val="00AD572C"/>
    <w:rsid w:val="00AE1444"/>
    <w:rsid w:val="00AE4E59"/>
    <w:rsid w:val="00AF0633"/>
    <w:rsid w:val="00AF2263"/>
    <w:rsid w:val="00AF78AE"/>
    <w:rsid w:val="00B02CA4"/>
    <w:rsid w:val="00B11600"/>
    <w:rsid w:val="00B16415"/>
    <w:rsid w:val="00B17E46"/>
    <w:rsid w:val="00B20577"/>
    <w:rsid w:val="00B34B98"/>
    <w:rsid w:val="00B5147D"/>
    <w:rsid w:val="00B62647"/>
    <w:rsid w:val="00B71F90"/>
    <w:rsid w:val="00B74C1D"/>
    <w:rsid w:val="00B75BE6"/>
    <w:rsid w:val="00B94907"/>
    <w:rsid w:val="00B97B20"/>
    <w:rsid w:val="00BB0431"/>
    <w:rsid w:val="00BC0CC1"/>
    <w:rsid w:val="00BC19B8"/>
    <w:rsid w:val="00BC4FAF"/>
    <w:rsid w:val="00BD181C"/>
    <w:rsid w:val="00BD6B9C"/>
    <w:rsid w:val="00BD6DD6"/>
    <w:rsid w:val="00BF1C51"/>
    <w:rsid w:val="00C02D97"/>
    <w:rsid w:val="00C253A8"/>
    <w:rsid w:val="00C25BEE"/>
    <w:rsid w:val="00C32173"/>
    <w:rsid w:val="00C37A1B"/>
    <w:rsid w:val="00C46B88"/>
    <w:rsid w:val="00C50AAB"/>
    <w:rsid w:val="00C54782"/>
    <w:rsid w:val="00C55E3A"/>
    <w:rsid w:val="00C72830"/>
    <w:rsid w:val="00C76109"/>
    <w:rsid w:val="00C800BD"/>
    <w:rsid w:val="00C85A02"/>
    <w:rsid w:val="00C96D90"/>
    <w:rsid w:val="00CA3ADB"/>
    <w:rsid w:val="00CA7277"/>
    <w:rsid w:val="00CA743E"/>
    <w:rsid w:val="00CB2C18"/>
    <w:rsid w:val="00CB5476"/>
    <w:rsid w:val="00CB6448"/>
    <w:rsid w:val="00CB7920"/>
    <w:rsid w:val="00CC3E3C"/>
    <w:rsid w:val="00CC67FC"/>
    <w:rsid w:val="00CD0078"/>
    <w:rsid w:val="00CF249E"/>
    <w:rsid w:val="00CF3F14"/>
    <w:rsid w:val="00CF7D12"/>
    <w:rsid w:val="00D0154D"/>
    <w:rsid w:val="00D02D3C"/>
    <w:rsid w:val="00D04D23"/>
    <w:rsid w:val="00D106B5"/>
    <w:rsid w:val="00D12282"/>
    <w:rsid w:val="00D1671E"/>
    <w:rsid w:val="00D22F58"/>
    <w:rsid w:val="00D25477"/>
    <w:rsid w:val="00D34FF7"/>
    <w:rsid w:val="00D403D6"/>
    <w:rsid w:val="00D4293F"/>
    <w:rsid w:val="00D5542A"/>
    <w:rsid w:val="00D7694C"/>
    <w:rsid w:val="00D84FC7"/>
    <w:rsid w:val="00D929DF"/>
    <w:rsid w:val="00DB3124"/>
    <w:rsid w:val="00DD0BE6"/>
    <w:rsid w:val="00DD0D07"/>
    <w:rsid w:val="00DD37D4"/>
    <w:rsid w:val="00DF47A0"/>
    <w:rsid w:val="00DF64FE"/>
    <w:rsid w:val="00E02C5C"/>
    <w:rsid w:val="00E03BBA"/>
    <w:rsid w:val="00E07734"/>
    <w:rsid w:val="00E12B10"/>
    <w:rsid w:val="00E14093"/>
    <w:rsid w:val="00E16F32"/>
    <w:rsid w:val="00E175B1"/>
    <w:rsid w:val="00E25871"/>
    <w:rsid w:val="00E30C7B"/>
    <w:rsid w:val="00E376AD"/>
    <w:rsid w:val="00E405D4"/>
    <w:rsid w:val="00E46F2B"/>
    <w:rsid w:val="00E61423"/>
    <w:rsid w:val="00E73337"/>
    <w:rsid w:val="00E818E3"/>
    <w:rsid w:val="00E9000B"/>
    <w:rsid w:val="00E90059"/>
    <w:rsid w:val="00E95A23"/>
    <w:rsid w:val="00E961FA"/>
    <w:rsid w:val="00E96D72"/>
    <w:rsid w:val="00EB0BD4"/>
    <w:rsid w:val="00EB35DC"/>
    <w:rsid w:val="00EC08ED"/>
    <w:rsid w:val="00EC172A"/>
    <w:rsid w:val="00ED0358"/>
    <w:rsid w:val="00ED28DC"/>
    <w:rsid w:val="00ED5319"/>
    <w:rsid w:val="00EE5133"/>
    <w:rsid w:val="00EE792D"/>
    <w:rsid w:val="00EF01F1"/>
    <w:rsid w:val="00EF1E54"/>
    <w:rsid w:val="00EF28A6"/>
    <w:rsid w:val="00EF602D"/>
    <w:rsid w:val="00F0534A"/>
    <w:rsid w:val="00F07C66"/>
    <w:rsid w:val="00F1492B"/>
    <w:rsid w:val="00F151FD"/>
    <w:rsid w:val="00F20158"/>
    <w:rsid w:val="00F22800"/>
    <w:rsid w:val="00F25DE1"/>
    <w:rsid w:val="00F40930"/>
    <w:rsid w:val="00F44F76"/>
    <w:rsid w:val="00F45F1D"/>
    <w:rsid w:val="00F51C3E"/>
    <w:rsid w:val="00F56932"/>
    <w:rsid w:val="00F57516"/>
    <w:rsid w:val="00F61F57"/>
    <w:rsid w:val="00F64690"/>
    <w:rsid w:val="00F65B3F"/>
    <w:rsid w:val="00F668C6"/>
    <w:rsid w:val="00F72615"/>
    <w:rsid w:val="00F84DFE"/>
    <w:rsid w:val="00F934E4"/>
    <w:rsid w:val="00F977FD"/>
    <w:rsid w:val="00FA298A"/>
    <w:rsid w:val="00FA3D47"/>
    <w:rsid w:val="00FB5878"/>
    <w:rsid w:val="00FC2903"/>
    <w:rsid w:val="00FC5B91"/>
    <w:rsid w:val="00FD2975"/>
    <w:rsid w:val="00FD3BF7"/>
    <w:rsid w:val="00FD4369"/>
    <w:rsid w:val="00FD4990"/>
    <w:rsid w:val="00FE2599"/>
    <w:rsid w:val="00FE2CF8"/>
    <w:rsid w:val="00FF2E2F"/>
    <w:rsid w:val="1C263A77"/>
    <w:rsid w:val="1F678F65"/>
    <w:rsid w:val="28A23E78"/>
    <w:rsid w:val="34CCF84F"/>
    <w:rsid w:val="79992C6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BB46E44"/>
  <w15:chartTrackingRefBased/>
  <w15:docId w15:val="{ACA92082-9BD9-4859-94AE-CDF761AD0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800"/>
    <w:rPr>
      <w:sz w:val="20"/>
    </w:rPr>
  </w:style>
  <w:style w:type="paragraph" w:styleId="Heading1">
    <w:name w:val="heading 1"/>
    <w:basedOn w:val="Normal"/>
    <w:next w:val="Normal"/>
    <w:link w:val="Heading1Char"/>
    <w:uiPriority w:val="9"/>
    <w:qFormat/>
    <w:rsid w:val="00AC3C6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D0D0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46E8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E95A2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E95A23"/>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3C6B"/>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AC3C6B"/>
    <w:pPr>
      <w:outlineLvl w:val="9"/>
    </w:pPr>
    <w:rPr>
      <w:lang w:val="en-US"/>
    </w:rPr>
  </w:style>
  <w:style w:type="character" w:styleId="Hyperlink">
    <w:name w:val="Hyperlink"/>
    <w:basedOn w:val="DefaultParagraphFont"/>
    <w:uiPriority w:val="99"/>
    <w:unhideWhenUsed/>
    <w:rsid w:val="009C3D9C"/>
    <w:rPr>
      <w:color w:val="0563C1" w:themeColor="hyperlink"/>
      <w:u w:val="single"/>
    </w:rPr>
  </w:style>
  <w:style w:type="character" w:customStyle="1" w:styleId="Mention1">
    <w:name w:val="Mention1"/>
    <w:basedOn w:val="DefaultParagraphFont"/>
    <w:uiPriority w:val="99"/>
    <w:semiHidden/>
    <w:unhideWhenUsed/>
    <w:rsid w:val="009C3D9C"/>
    <w:rPr>
      <w:color w:val="2B579A"/>
      <w:shd w:val="clear" w:color="auto" w:fill="E6E6E6"/>
    </w:rPr>
  </w:style>
  <w:style w:type="table" w:styleId="TableGrid">
    <w:name w:val="Table Grid"/>
    <w:basedOn w:val="TableNormal"/>
    <w:uiPriority w:val="59"/>
    <w:rsid w:val="009C3D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D00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0078"/>
  </w:style>
  <w:style w:type="paragraph" w:styleId="Footer">
    <w:name w:val="footer"/>
    <w:basedOn w:val="Normal"/>
    <w:link w:val="FooterChar"/>
    <w:uiPriority w:val="99"/>
    <w:unhideWhenUsed/>
    <w:rsid w:val="00CD00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0078"/>
  </w:style>
  <w:style w:type="paragraph" w:styleId="TOC1">
    <w:name w:val="toc 1"/>
    <w:basedOn w:val="Normal"/>
    <w:next w:val="Normal"/>
    <w:autoRedefine/>
    <w:uiPriority w:val="39"/>
    <w:unhideWhenUsed/>
    <w:rsid w:val="00CD0078"/>
    <w:pPr>
      <w:spacing w:after="100"/>
    </w:pPr>
  </w:style>
  <w:style w:type="character" w:styleId="UnresolvedMention">
    <w:name w:val="Unresolved Mention"/>
    <w:basedOn w:val="DefaultParagraphFont"/>
    <w:uiPriority w:val="99"/>
    <w:semiHidden/>
    <w:unhideWhenUsed/>
    <w:rsid w:val="003F55C7"/>
    <w:rPr>
      <w:color w:val="605E5C"/>
      <w:shd w:val="clear" w:color="auto" w:fill="E1DFDD"/>
    </w:rPr>
  </w:style>
  <w:style w:type="paragraph" w:styleId="TOC2">
    <w:name w:val="toc 2"/>
    <w:basedOn w:val="Normal"/>
    <w:next w:val="Normal"/>
    <w:autoRedefine/>
    <w:uiPriority w:val="39"/>
    <w:unhideWhenUsed/>
    <w:rsid w:val="0059688E"/>
    <w:pPr>
      <w:spacing w:after="100"/>
      <w:ind w:left="220"/>
    </w:pPr>
  </w:style>
  <w:style w:type="paragraph" w:styleId="FootnoteText">
    <w:name w:val="footnote text"/>
    <w:basedOn w:val="Normal"/>
    <w:link w:val="FootnoteTextChar"/>
    <w:uiPriority w:val="99"/>
    <w:semiHidden/>
    <w:unhideWhenUsed/>
    <w:rsid w:val="00422D1F"/>
    <w:pPr>
      <w:spacing w:after="0" w:line="240" w:lineRule="auto"/>
    </w:pPr>
    <w:rPr>
      <w:rFonts w:ascii="Verdana" w:eastAsia="Times New Roman" w:hAnsi="Verdana" w:cs="Times New Roman"/>
      <w:szCs w:val="20"/>
      <w:lang w:val="es-ES"/>
    </w:rPr>
  </w:style>
  <w:style w:type="character" w:customStyle="1" w:styleId="FootnoteTextChar">
    <w:name w:val="Footnote Text Char"/>
    <w:basedOn w:val="DefaultParagraphFont"/>
    <w:link w:val="FootnoteText"/>
    <w:uiPriority w:val="99"/>
    <w:semiHidden/>
    <w:rsid w:val="00422D1F"/>
    <w:rPr>
      <w:rFonts w:ascii="Verdana" w:eastAsia="Times New Roman" w:hAnsi="Verdana" w:cs="Times New Roman"/>
      <w:sz w:val="20"/>
      <w:szCs w:val="20"/>
      <w:lang w:val="es-ES"/>
    </w:rPr>
  </w:style>
  <w:style w:type="character" w:customStyle="1" w:styleId="ListParagraphChar">
    <w:name w:val="List Paragraph Char"/>
    <w:aliases w:val="Scrinser Char"/>
    <w:basedOn w:val="DefaultParagraphFont"/>
    <w:link w:val="ListParagraph"/>
    <w:uiPriority w:val="34"/>
    <w:locked/>
    <w:rsid w:val="00422D1F"/>
    <w:rPr>
      <w:rFonts w:ascii="Verdana" w:hAnsi="Verdana"/>
      <w:lang w:val="es-ES"/>
    </w:rPr>
  </w:style>
  <w:style w:type="paragraph" w:styleId="ListParagraph">
    <w:name w:val="List Paragraph"/>
    <w:aliases w:val="Scrinser"/>
    <w:basedOn w:val="Normal"/>
    <w:link w:val="ListParagraphChar"/>
    <w:uiPriority w:val="34"/>
    <w:qFormat/>
    <w:rsid w:val="00422D1F"/>
    <w:pPr>
      <w:spacing w:after="0" w:line="240" w:lineRule="auto"/>
      <w:ind w:left="720"/>
      <w:contextualSpacing/>
    </w:pPr>
    <w:rPr>
      <w:rFonts w:ascii="Verdana" w:hAnsi="Verdana"/>
      <w:lang w:val="es-ES"/>
    </w:rPr>
  </w:style>
  <w:style w:type="character" w:styleId="FootnoteReference">
    <w:name w:val="footnote reference"/>
    <w:uiPriority w:val="99"/>
    <w:semiHidden/>
    <w:unhideWhenUsed/>
    <w:rsid w:val="00422D1F"/>
    <w:rPr>
      <w:vertAlign w:val="superscript"/>
    </w:rPr>
  </w:style>
  <w:style w:type="character" w:customStyle="1" w:styleId="Heading2Char">
    <w:name w:val="Heading 2 Char"/>
    <w:basedOn w:val="DefaultParagraphFont"/>
    <w:link w:val="Heading2"/>
    <w:uiPriority w:val="9"/>
    <w:rsid w:val="00DD0D0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46E8D"/>
    <w:rPr>
      <w:rFonts w:asciiTheme="majorHAnsi" w:eastAsiaTheme="majorEastAsia" w:hAnsiTheme="majorHAnsi" w:cstheme="majorBidi"/>
      <w:color w:val="1F3763" w:themeColor="accent1" w:themeShade="7F"/>
      <w:sz w:val="24"/>
      <w:szCs w:val="24"/>
    </w:rPr>
  </w:style>
  <w:style w:type="paragraph" w:styleId="BodyText">
    <w:name w:val="Body Text"/>
    <w:basedOn w:val="Normal"/>
    <w:link w:val="BodyTextChar"/>
    <w:unhideWhenUsed/>
    <w:qFormat/>
    <w:rsid w:val="00BC19B8"/>
    <w:pPr>
      <w:spacing w:before="40" w:after="140" w:line="280" w:lineRule="atLeast"/>
    </w:pPr>
    <w:rPr>
      <w:rFonts w:ascii="Arial" w:eastAsiaTheme="minorEastAsia" w:hAnsi="Arial" w:cs="Arial"/>
      <w:sz w:val="18"/>
      <w:szCs w:val="18"/>
      <w:lang w:eastAsia="zh-CN"/>
    </w:rPr>
  </w:style>
  <w:style w:type="character" w:customStyle="1" w:styleId="BodyTextChar">
    <w:name w:val="Body Text Char"/>
    <w:basedOn w:val="DefaultParagraphFont"/>
    <w:link w:val="BodyText"/>
    <w:rsid w:val="00BC19B8"/>
    <w:rPr>
      <w:rFonts w:ascii="Arial" w:eastAsiaTheme="minorEastAsia" w:hAnsi="Arial" w:cs="Arial"/>
      <w:sz w:val="18"/>
      <w:szCs w:val="18"/>
      <w:lang w:eastAsia="zh-CN"/>
    </w:rPr>
  </w:style>
  <w:style w:type="character" w:customStyle="1" w:styleId="DNVGL-capFigureChar">
    <w:name w:val="DNVGL-capFigure Char"/>
    <w:basedOn w:val="DefaultParagraphFont"/>
    <w:link w:val="DNVGL-capFigure"/>
    <w:uiPriority w:val="99"/>
    <w:locked/>
    <w:rsid w:val="00BC19B8"/>
    <w:rPr>
      <w:rFonts w:ascii="Arial" w:hAnsi="Arial" w:cs="Arial"/>
      <w:b/>
      <w:sz w:val="18"/>
      <w:szCs w:val="18"/>
    </w:rPr>
  </w:style>
  <w:style w:type="paragraph" w:customStyle="1" w:styleId="DNVGL-capFigure">
    <w:name w:val="DNVGL-capFigure"/>
    <w:basedOn w:val="Normal"/>
    <w:next w:val="BodyText"/>
    <w:link w:val="DNVGL-capFigureChar"/>
    <w:uiPriority w:val="99"/>
    <w:rsid w:val="00BC19B8"/>
    <w:pPr>
      <w:keepNext/>
      <w:spacing w:after="0" w:line="240" w:lineRule="auto"/>
    </w:pPr>
    <w:rPr>
      <w:rFonts w:ascii="Arial" w:hAnsi="Arial" w:cs="Arial"/>
      <w:b/>
      <w:sz w:val="18"/>
      <w:szCs w:val="18"/>
    </w:rPr>
  </w:style>
  <w:style w:type="paragraph" w:styleId="CommentText">
    <w:name w:val="annotation text"/>
    <w:basedOn w:val="Normal"/>
    <w:link w:val="CommentTextChar"/>
    <w:uiPriority w:val="99"/>
    <w:semiHidden/>
    <w:unhideWhenUsed/>
    <w:rsid w:val="0038242C"/>
    <w:pPr>
      <w:spacing w:after="0" w:line="240" w:lineRule="auto"/>
    </w:pPr>
    <w:rPr>
      <w:rFonts w:ascii="Arial" w:eastAsiaTheme="minorEastAsia" w:hAnsi="Arial" w:cs="Arial"/>
      <w:szCs w:val="20"/>
      <w:lang w:eastAsia="zh-CN"/>
    </w:rPr>
  </w:style>
  <w:style w:type="character" w:customStyle="1" w:styleId="CommentTextChar">
    <w:name w:val="Comment Text Char"/>
    <w:basedOn w:val="DefaultParagraphFont"/>
    <w:link w:val="CommentText"/>
    <w:uiPriority w:val="99"/>
    <w:semiHidden/>
    <w:rsid w:val="0038242C"/>
    <w:rPr>
      <w:rFonts w:ascii="Arial" w:eastAsiaTheme="minorEastAsia" w:hAnsi="Arial" w:cs="Arial"/>
      <w:sz w:val="20"/>
      <w:szCs w:val="20"/>
      <w:lang w:eastAsia="zh-CN"/>
    </w:rPr>
  </w:style>
  <w:style w:type="character" w:styleId="CommentReference">
    <w:name w:val="annotation reference"/>
    <w:basedOn w:val="DefaultParagraphFont"/>
    <w:uiPriority w:val="99"/>
    <w:semiHidden/>
    <w:unhideWhenUsed/>
    <w:rsid w:val="0038242C"/>
    <w:rPr>
      <w:sz w:val="16"/>
      <w:szCs w:val="16"/>
    </w:rPr>
  </w:style>
  <w:style w:type="paragraph" w:styleId="TOC3">
    <w:name w:val="toc 3"/>
    <w:basedOn w:val="Normal"/>
    <w:next w:val="Normal"/>
    <w:autoRedefine/>
    <w:uiPriority w:val="39"/>
    <w:unhideWhenUsed/>
    <w:rsid w:val="00B34B98"/>
    <w:pPr>
      <w:spacing w:after="100"/>
      <w:ind w:left="440"/>
    </w:pPr>
  </w:style>
  <w:style w:type="paragraph" w:styleId="Caption">
    <w:name w:val="caption"/>
    <w:basedOn w:val="Normal"/>
    <w:next w:val="Normal"/>
    <w:uiPriority w:val="35"/>
    <w:unhideWhenUsed/>
    <w:qFormat/>
    <w:rsid w:val="00B34B98"/>
    <w:pPr>
      <w:spacing w:after="200" w:line="240" w:lineRule="auto"/>
    </w:pPr>
    <w:rPr>
      <w:i/>
      <w:iCs/>
      <w:color w:val="44546A" w:themeColor="text2"/>
      <w:sz w:val="18"/>
      <w:szCs w:val="18"/>
    </w:rPr>
  </w:style>
  <w:style w:type="character" w:styleId="EndnoteReference">
    <w:name w:val="endnote reference"/>
    <w:basedOn w:val="DefaultParagraphFont"/>
    <w:uiPriority w:val="99"/>
    <w:semiHidden/>
    <w:unhideWhenUsed/>
    <w:rsid w:val="00F151FD"/>
    <w:rPr>
      <w:vertAlign w:val="superscript"/>
    </w:rPr>
  </w:style>
  <w:style w:type="character" w:customStyle="1" w:styleId="Heading4Char">
    <w:name w:val="Heading 4 Char"/>
    <w:basedOn w:val="DefaultParagraphFont"/>
    <w:link w:val="Heading4"/>
    <w:uiPriority w:val="9"/>
    <w:rsid w:val="00E95A23"/>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E95A23"/>
    <w:rPr>
      <w:rFonts w:asciiTheme="majorHAnsi" w:eastAsiaTheme="majorEastAsia" w:hAnsiTheme="majorHAnsi" w:cstheme="majorBidi"/>
      <w:color w:val="2F5496" w:themeColor="accent1" w:themeShade="BF"/>
    </w:rPr>
  </w:style>
  <w:style w:type="paragraph" w:styleId="CommentSubject">
    <w:name w:val="annotation subject"/>
    <w:basedOn w:val="CommentText"/>
    <w:next w:val="CommentText"/>
    <w:link w:val="CommentSubjectChar"/>
    <w:uiPriority w:val="99"/>
    <w:semiHidden/>
    <w:unhideWhenUsed/>
    <w:rsid w:val="007678C3"/>
    <w:pPr>
      <w:spacing w:after="16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7678C3"/>
    <w:rPr>
      <w:rFonts w:ascii="Arial" w:eastAsiaTheme="minorEastAsia" w:hAnsi="Arial" w:cs="Arial"/>
      <w:b/>
      <w:bCs/>
      <w:sz w:val="20"/>
      <w:szCs w:val="20"/>
      <w:lang w:eastAsia="zh-CN"/>
    </w:rPr>
  </w:style>
  <w:style w:type="paragraph" w:styleId="Revision">
    <w:name w:val="Revision"/>
    <w:hidden/>
    <w:uiPriority w:val="99"/>
    <w:semiHidden/>
    <w:rsid w:val="001613CD"/>
    <w:pPr>
      <w:spacing w:after="0" w:line="240" w:lineRule="auto"/>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173081">
      <w:bodyDiv w:val="1"/>
      <w:marLeft w:val="0"/>
      <w:marRight w:val="0"/>
      <w:marTop w:val="0"/>
      <w:marBottom w:val="0"/>
      <w:divBdr>
        <w:top w:val="none" w:sz="0" w:space="0" w:color="auto"/>
        <w:left w:val="none" w:sz="0" w:space="0" w:color="auto"/>
        <w:bottom w:val="none" w:sz="0" w:space="0" w:color="auto"/>
        <w:right w:val="none" w:sz="0" w:space="0" w:color="auto"/>
      </w:divBdr>
    </w:div>
    <w:div w:id="363412003">
      <w:bodyDiv w:val="1"/>
      <w:marLeft w:val="0"/>
      <w:marRight w:val="0"/>
      <w:marTop w:val="0"/>
      <w:marBottom w:val="0"/>
      <w:divBdr>
        <w:top w:val="none" w:sz="0" w:space="0" w:color="auto"/>
        <w:left w:val="none" w:sz="0" w:space="0" w:color="auto"/>
        <w:bottom w:val="none" w:sz="0" w:space="0" w:color="auto"/>
        <w:right w:val="none" w:sz="0" w:space="0" w:color="auto"/>
      </w:divBdr>
    </w:div>
    <w:div w:id="488910676">
      <w:bodyDiv w:val="1"/>
      <w:marLeft w:val="0"/>
      <w:marRight w:val="0"/>
      <w:marTop w:val="0"/>
      <w:marBottom w:val="0"/>
      <w:divBdr>
        <w:top w:val="none" w:sz="0" w:space="0" w:color="auto"/>
        <w:left w:val="none" w:sz="0" w:space="0" w:color="auto"/>
        <w:bottom w:val="none" w:sz="0" w:space="0" w:color="auto"/>
        <w:right w:val="none" w:sz="0" w:space="0" w:color="auto"/>
      </w:divBdr>
    </w:div>
    <w:div w:id="557283443">
      <w:bodyDiv w:val="1"/>
      <w:marLeft w:val="0"/>
      <w:marRight w:val="0"/>
      <w:marTop w:val="0"/>
      <w:marBottom w:val="0"/>
      <w:divBdr>
        <w:top w:val="none" w:sz="0" w:space="0" w:color="auto"/>
        <w:left w:val="none" w:sz="0" w:space="0" w:color="auto"/>
        <w:bottom w:val="none" w:sz="0" w:space="0" w:color="auto"/>
        <w:right w:val="none" w:sz="0" w:space="0" w:color="auto"/>
      </w:divBdr>
    </w:div>
    <w:div w:id="644089157">
      <w:bodyDiv w:val="1"/>
      <w:marLeft w:val="0"/>
      <w:marRight w:val="0"/>
      <w:marTop w:val="0"/>
      <w:marBottom w:val="0"/>
      <w:divBdr>
        <w:top w:val="none" w:sz="0" w:space="0" w:color="auto"/>
        <w:left w:val="none" w:sz="0" w:space="0" w:color="auto"/>
        <w:bottom w:val="none" w:sz="0" w:space="0" w:color="auto"/>
        <w:right w:val="none" w:sz="0" w:space="0" w:color="auto"/>
      </w:divBdr>
    </w:div>
    <w:div w:id="765805474">
      <w:bodyDiv w:val="1"/>
      <w:marLeft w:val="0"/>
      <w:marRight w:val="0"/>
      <w:marTop w:val="0"/>
      <w:marBottom w:val="0"/>
      <w:divBdr>
        <w:top w:val="none" w:sz="0" w:space="0" w:color="auto"/>
        <w:left w:val="none" w:sz="0" w:space="0" w:color="auto"/>
        <w:bottom w:val="none" w:sz="0" w:space="0" w:color="auto"/>
        <w:right w:val="none" w:sz="0" w:space="0" w:color="auto"/>
      </w:divBdr>
    </w:div>
    <w:div w:id="880240132">
      <w:bodyDiv w:val="1"/>
      <w:marLeft w:val="0"/>
      <w:marRight w:val="0"/>
      <w:marTop w:val="0"/>
      <w:marBottom w:val="0"/>
      <w:divBdr>
        <w:top w:val="none" w:sz="0" w:space="0" w:color="auto"/>
        <w:left w:val="none" w:sz="0" w:space="0" w:color="auto"/>
        <w:bottom w:val="none" w:sz="0" w:space="0" w:color="auto"/>
        <w:right w:val="none" w:sz="0" w:space="0" w:color="auto"/>
      </w:divBdr>
    </w:div>
    <w:div w:id="1292829978">
      <w:bodyDiv w:val="1"/>
      <w:marLeft w:val="0"/>
      <w:marRight w:val="0"/>
      <w:marTop w:val="0"/>
      <w:marBottom w:val="0"/>
      <w:divBdr>
        <w:top w:val="none" w:sz="0" w:space="0" w:color="auto"/>
        <w:left w:val="none" w:sz="0" w:space="0" w:color="auto"/>
        <w:bottom w:val="none" w:sz="0" w:space="0" w:color="auto"/>
        <w:right w:val="none" w:sz="0" w:space="0" w:color="auto"/>
      </w:divBdr>
    </w:div>
    <w:div w:id="1529292065">
      <w:bodyDiv w:val="1"/>
      <w:marLeft w:val="0"/>
      <w:marRight w:val="0"/>
      <w:marTop w:val="0"/>
      <w:marBottom w:val="0"/>
      <w:divBdr>
        <w:top w:val="none" w:sz="0" w:space="0" w:color="auto"/>
        <w:left w:val="none" w:sz="0" w:space="0" w:color="auto"/>
        <w:bottom w:val="none" w:sz="0" w:space="0" w:color="auto"/>
        <w:right w:val="none" w:sz="0" w:space="0" w:color="auto"/>
      </w:divBdr>
    </w:div>
    <w:div w:id="1573660104">
      <w:bodyDiv w:val="1"/>
      <w:marLeft w:val="0"/>
      <w:marRight w:val="0"/>
      <w:marTop w:val="0"/>
      <w:marBottom w:val="0"/>
      <w:divBdr>
        <w:top w:val="none" w:sz="0" w:space="0" w:color="auto"/>
        <w:left w:val="none" w:sz="0" w:space="0" w:color="auto"/>
        <w:bottom w:val="none" w:sz="0" w:space="0" w:color="auto"/>
        <w:right w:val="none" w:sz="0" w:space="0" w:color="auto"/>
      </w:divBdr>
    </w:div>
    <w:div w:id="1576208860">
      <w:bodyDiv w:val="1"/>
      <w:marLeft w:val="0"/>
      <w:marRight w:val="0"/>
      <w:marTop w:val="0"/>
      <w:marBottom w:val="0"/>
      <w:divBdr>
        <w:top w:val="none" w:sz="0" w:space="0" w:color="auto"/>
        <w:left w:val="none" w:sz="0" w:space="0" w:color="auto"/>
        <w:bottom w:val="none" w:sz="0" w:space="0" w:color="auto"/>
        <w:right w:val="none" w:sz="0" w:space="0" w:color="auto"/>
      </w:divBdr>
    </w:div>
    <w:div w:id="1676880370">
      <w:bodyDiv w:val="1"/>
      <w:marLeft w:val="0"/>
      <w:marRight w:val="0"/>
      <w:marTop w:val="0"/>
      <w:marBottom w:val="0"/>
      <w:divBdr>
        <w:top w:val="none" w:sz="0" w:space="0" w:color="auto"/>
        <w:left w:val="none" w:sz="0" w:space="0" w:color="auto"/>
        <w:bottom w:val="none" w:sz="0" w:space="0" w:color="auto"/>
        <w:right w:val="none" w:sz="0" w:space="0" w:color="auto"/>
      </w:divBdr>
    </w:div>
    <w:div w:id="1717660582">
      <w:bodyDiv w:val="1"/>
      <w:marLeft w:val="0"/>
      <w:marRight w:val="0"/>
      <w:marTop w:val="0"/>
      <w:marBottom w:val="0"/>
      <w:divBdr>
        <w:top w:val="none" w:sz="0" w:space="0" w:color="auto"/>
        <w:left w:val="none" w:sz="0" w:space="0" w:color="auto"/>
        <w:bottom w:val="none" w:sz="0" w:space="0" w:color="auto"/>
        <w:right w:val="none" w:sz="0" w:space="0" w:color="auto"/>
      </w:divBdr>
    </w:div>
    <w:div w:id="1920556599">
      <w:bodyDiv w:val="1"/>
      <w:marLeft w:val="0"/>
      <w:marRight w:val="0"/>
      <w:marTop w:val="0"/>
      <w:marBottom w:val="0"/>
      <w:divBdr>
        <w:top w:val="none" w:sz="0" w:space="0" w:color="auto"/>
        <w:left w:val="none" w:sz="0" w:space="0" w:color="auto"/>
        <w:bottom w:val="none" w:sz="0" w:space="0" w:color="auto"/>
        <w:right w:val="none" w:sz="0" w:space="0" w:color="auto"/>
      </w:divBdr>
    </w:div>
    <w:div w:id="1947076188">
      <w:bodyDiv w:val="1"/>
      <w:marLeft w:val="0"/>
      <w:marRight w:val="0"/>
      <w:marTop w:val="0"/>
      <w:marBottom w:val="0"/>
      <w:divBdr>
        <w:top w:val="none" w:sz="0" w:space="0" w:color="auto"/>
        <w:left w:val="none" w:sz="0" w:space="0" w:color="auto"/>
        <w:bottom w:val="none" w:sz="0" w:space="0" w:color="auto"/>
        <w:right w:val="none" w:sz="0" w:space="0" w:color="auto"/>
      </w:divBdr>
    </w:div>
    <w:div w:id="2001497265">
      <w:bodyDiv w:val="1"/>
      <w:marLeft w:val="0"/>
      <w:marRight w:val="0"/>
      <w:marTop w:val="0"/>
      <w:marBottom w:val="0"/>
      <w:divBdr>
        <w:top w:val="none" w:sz="0" w:space="0" w:color="auto"/>
        <w:left w:val="none" w:sz="0" w:space="0" w:color="auto"/>
        <w:bottom w:val="none" w:sz="0" w:space="0" w:color="auto"/>
        <w:right w:val="none" w:sz="0" w:space="0" w:color="auto"/>
      </w:divBdr>
    </w:div>
    <w:div w:id="2075161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emf"/><Relationship Id="rId26" Type="http://schemas.openxmlformats.org/officeDocument/2006/relationships/image" Target="media/image14.pn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9.emf"/><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decarbgrid.eu" TargetMode="Externa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emf"/><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microsoft.com/office/2007/relationships/hdphoto" Target="media/hdphoto1.wdp"/><Relationship Id="rId29" Type="http://schemas.openxmlformats.org/officeDocument/2006/relationships/image" Target="media/image16.png"/><Relationship Id="rId41"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emf"/><Relationship Id="rId45" Type="http://schemas.openxmlformats.org/officeDocument/2006/relationships/image" Target="media/image32.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footer" Target="footer1.xml"/><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emf"/></Relationships>
</file>

<file path=word/_rels/footnotes.xml.rels><?xml version="1.0" encoding="UTF-8" standalone="yes"?>
<Relationships xmlns="http://schemas.openxmlformats.org/package/2006/relationships"><Relationship Id="rId2" Type="http://schemas.openxmlformats.org/officeDocument/2006/relationships/hyperlink" Target="this%20link%20https:/ec.europa.eu/info/energy-climate-change-environment/implementation-eu-countries/energy-and-climate-governance-and-reporting/national-energy-and-climate-plans_en" TargetMode="External"/><Relationship Id="rId1" Type="http://schemas.openxmlformats.org/officeDocument/2006/relationships/hyperlink" Target="https://www.acer.europa.eu/gas-factshe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EEDB20C408002418FE71FCCB16FB1AE" ma:contentTypeVersion="4" ma:contentTypeDescription="Create a new document." ma:contentTypeScope="" ma:versionID="dc76116b0311d9fb6e21bd8216b41714">
  <xsd:schema xmlns:xsd="http://www.w3.org/2001/XMLSchema" xmlns:xs="http://www.w3.org/2001/XMLSchema" xmlns:p="http://schemas.microsoft.com/office/2006/metadata/properties" xmlns:ns2="4818f8f9-6b6e-40b1-a377-df2bb7ce074e" targetNamespace="http://schemas.microsoft.com/office/2006/metadata/properties" ma:root="true" ma:fieldsID="4960863bb858830caa2a922f6ad9b265" ns2:_="">
    <xsd:import namespace="4818f8f9-6b6e-40b1-a377-df2bb7ce074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18f8f9-6b6e-40b1-a377-df2bb7ce07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928787D-6E16-4D73-9C65-110371C7A03A}">
  <ds:schemaRefs>
    <ds:schemaRef ds:uri="http://schemas.microsoft.com/sharepoint/v3/contenttype/forms"/>
  </ds:schemaRefs>
</ds:datastoreItem>
</file>

<file path=customXml/itemProps2.xml><?xml version="1.0" encoding="utf-8"?>
<ds:datastoreItem xmlns:ds="http://schemas.openxmlformats.org/officeDocument/2006/customXml" ds:itemID="{DEED605D-C975-4D89-AB33-4FA52A33182F}"/>
</file>

<file path=customXml/itemProps3.xml><?xml version="1.0" encoding="utf-8"?>
<ds:datastoreItem xmlns:ds="http://schemas.openxmlformats.org/officeDocument/2006/customXml" ds:itemID="{EEF9FDA3-6489-4E0B-8EE9-DDBD50C23DC3}">
  <ds:schemaRefs>
    <ds:schemaRef ds:uri="http://schemas.openxmlformats.org/officeDocument/2006/bibliography"/>
  </ds:schemaRefs>
</ds:datastoreItem>
</file>

<file path=customXml/itemProps4.xml><?xml version="1.0" encoding="utf-8"?>
<ds:datastoreItem xmlns:ds="http://schemas.openxmlformats.org/officeDocument/2006/customXml" ds:itemID="{41CDCC13-FD6A-4722-B6F6-C0120B6C6BBB}">
  <ds:schemaRefs>
    <ds:schemaRef ds:uri="http://schemas.microsoft.com/office/2006/metadata/properties"/>
    <ds:schemaRef ds:uri="4818f8f9-6b6e-40b1-a377-df2bb7ce074e"/>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docMetadata/LabelInfo.xml><?xml version="1.0" encoding="utf-8"?>
<clbl:labelList xmlns:clbl="http://schemas.microsoft.com/office/2020/mipLabelMetadata">
  <clbl:label id="{948094c8-480e-400b-91c4-c984b7e20814}" enabled="1" method="Standard" siteId="{a1109567-0815-4e1f-88af-e23555482aaa}" removed="0"/>
</clbl:labelList>
</file>

<file path=docProps/app.xml><?xml version="1.0" encoding="utf-8"?>
<Properties xmlns="http://schemas.openxmlformats.org/officeDocument/2006/extended-properties" xmlns:vt="http://schemas.openxmlformats.org/officeDocument/2006/docPropsVTypes">
  <Template>Normal.dotm</Template>
  <TotalTime>95</TotalTime>
  <Pages>45</Pages>
  <Words>15831</Words>
  <Characters>90238</Characters>
  <Application>Microsoft Office Word</Application>
  <DocSecurity>0</DocSecurity>
  <Lines>751</Lines>
  <Paragraphs>211</Paragraphs>
  <ScaleCrop>false</ScaleCrop>
  <Company/>
  <LinksUpToDate>false</LinksUpToDate>
  <CharactersWithSpaces>105858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Arul Murugan</dc:creator>
  <cp:keywords/>
  <dc:description/>
  <cp:lastModifiedBy>Chinello, Gabriele</cp:lastModifiedBy>
  <cp:revision>375</cp:revision>
  <dcterms:created xsi:type="dcterms:W3CDTF">2022-09-30T14:15:00Z</dcterms:created>
  <dcterms:modified xsi:type="dcterms:W3CDTF">2022-12-13T13:36:00Z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rcoClassification">
    <vt:lpwstr>NPL Official</vt:lpwstr>
  </property>
  <property fmtid="{D5CDD505-2E9C-101B-9397-08002B2CF9AE}" pid="3" name="aliashDocumentMarking">
    <vt:lpwstr/>
  </property>
  <property fmtid="{D5CDD505-2E9C-101B-9397-08002B2CF9AE}" pid="4" name="ContentTypeId">
    <vt:lpwstr>0x0101009EEDB20C408002418FE71FCCB16FB1AE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MSIP_Label_48141450-2387-4aca-b41f-19cd6be9dd3c_Enabled">
    <vt:lpwstr>true</vt:lpwstr>
  </property>
  <property fmtid="{D5CDD505-2E9C-101B-9397-08002B2CF9AE}" pid="26" name="MSIP_Label_48141450-2387-4aca-b41f-19cd6be9dd3c_SetDate">
    <vt:lpwstr>2022-10-17T08:24:49Z</vt:lpwstr>
  </property>
  <property fmtid="{D5CDD505-2E9C-101B-9397-08002B2CF9AE}" pid="27" name="MSIP_Label_48141450-2387-4aca-b41f-19cd6be9dd3c_Method">
    <vt:lpwstr>Standard</vt:lpwstr>
  </property>
  <property fmtid="{D5CDD505-2E9C-101B-9397-08002B2CF9AE}" pid="28" name="MSIP_Label_48141450-2387-4aca-b41f-19cd6be9dd3c_Name">
    <vt:lpwstr>Restricted_Unprotected</vt:lpwstr>
  </property>
  <property fmtid="{D5CDD505-2E9C-101B-9397-08002B2CF9AE}" pid="29" name="MSIP_Label_48141450-2387-4aca-b41f-19cd6be9dd3c_SiteId">
    <vt:lpwstr>adf10e2b-b6e9-41d6-be2f-c12bb566019c</vt:lpwstr>
  </property>
  <property fmtid="{D5CDD505-2E9C-101B-9397-08002B2CF9AE}" pid="30" name="MSIP_Label_48141450-2387-4aca-b41f-19cd6be9dd3c_ActionId">
    <vt:lpwstr>3ed12b9d-ba3c-4bdf-b9a4-83b205d4ccb5</vt:lpwstr>
  </property>
  <property fmtid="{D5CDD505-2E9C-101B-9397-08002B2CF9AE}" pid="31" name="MSIP_Label_48141450-2387-4aca-b41f-19cd6be9dd3c_ContentBits">
    <vt:lpwstr>0</vt:lpwstr>
  </property>
</Properties>
</file>